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764DEA49" w14:textId="7C24FA82" w:rsidR="00821431" w:rsidRPr="00821431" w:rsidRDefault="000724EA" w:rsidP="00821431">
      <w:pPr>
        <w:spacing w:before="100" w:beforeAutospacing="1" w:after="0"/>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proofErr w:type="spellStart"/>
      <w:r w:rsidR="00821431" w:rsidRPr="00821431">
        <w:rPr>
          <w:rFonts w:ascii="Times New Roman" w:hAnsi="Times New Roman"/>
          <w:sz w:val="22"/>
          <w:szCs w:val="22"/>
        </w:rPr>
        <w:t>Zekija</w:t>
      </w:r>
      <w:proofErr w:type="spellEnd"/>
      <w:r w:rsidR="00821431" w:rsidRPr="00821431">
        <w:rPr>
          <w:rFonts w:ascii="Times New Roman" w:hAnsi="Times New Roman"/>
          <w:sz w:val="22"/>
          <w:szCs w:val="22"/>
        </w:rPr>
        <w:t xml:space="preserve"> </w:t>
      </w:r>
      <w:proofErr w:type="spellStart"/>
      <w:r w:rsidR="00821431" w:rsidRPr="00821431">
        <w:rPr>
          <w:rFonts w:ascii="Times New Roman" w:hAnsi="Times New Roman"/>
          <w:sz w:val="22"/>
          <w:szCs w:val="22"/>
        </w:rPr>
        <w:t>Memedova</w:t>
      </w:r>
      <w:proofErr w:type="spellEnd"/>
      <w:r w:rsidR="00821431" w:rsidRPr="00821431">
        <w:rPr>
          <w:rFonts w:ascii="Times New Roman" w:hAnsi="Times New Roman"/>
          <w:sz w:val="22"/>
          <w:szCs w:val="22"/>
        </w:rPr>
        <w:t xml:space="preserve"> Hristova</w:t>
      </w:r>
    </w:p>
    <w:p w14:paraId="15335636" w14:textId="24D7F302" w:rsidR="00821431" w:rsidRPr="00821431" w:rsidRDefault="00821431" w:rsidP="00821431">
      <w:pPr>
        <w:spacing w:before="100" w:beforeAutospacing="1" w:after="0"/>
        <w:ind w:left="1134" w:hanging="567"/>
        <w:rPr>
          <w:rFonts w:ascii="Times New Roman" w:hAnsi="Times New Roman"/>
          <w:sz w:val="22"/>
          <w:szCs w:val="22"/>
        </w:rPr>
      </w:pPr>
      <w:r w:rsidRPr="00821431">
        <w:rPr>
          <w:rFonts w:ascii="Times New Roman" w:hAnsi="Times New Roman"/>
          <w:sz w:val="22"/>
          <w:szCs w:val="22"/>
        </w:rPr>
        <w:t xml:space="preserve">          NGO Green Institute</w:t>
      </w:r>
    </w:p>
    <w:p w14:paraId="0948FEF5" w14:textId="6E1B6FE7" w:rsidR="00821431" w:rsidRPr="003D257A" w:rsidRDefault="00821431" w:rsidP="00821431">
      <w:pPr>
        <w:spacing w:before="100" w:beforeAutospacing="1" w:after="0"/>
        <w:ind w:left="1134" w:hanging="567"/>
        <w:rPr>
          <w:rFonts w:ascii="Times New Roman" w:hAnsi="Times New Roman"/>
          <w:sz w:val="22"/>
          <w:szCs w:val="22"/>
          <w:lang w:val="pl-PL"/>
        </w:rPr>
      </w:pPr>
      <w:r w:rsidRPr="00821431">
        <w:rPr>
          <w:rFonts w:ascii="Times New Roman" w:hAnsi="Times New Roman"/>
          <w:sz w:val="22"/>
          <w:szCs w:val="22"/>
        </w:rPr>
        <w:t xml:space="preserve">          </w:t>
      </w:r>
      <w:r w:rsidRPr="003D257A">
        <w:rPr>
          <w:rFonts w:ascii="Times New Roman" w:hAnsi="Times New Roman"/>
          <w:sz w:val="22"/>
          <w:szCs w:val="22"/>
          <w:lang w:val="pl-PL"/>
        </w:rPr>
        <w:t>Blv. Kocho Rachin 18/3, 1000 Skopje, NMK</w:t>
      </w:r>
    </w:p>
    <w:p w14:paraId="0DBFF885" w14:textId="374809D9" w:rsidR="00821431" w:rsidRPr="003D257A" w:rsidRDefault="00821431" w:rsidP="00821431">
      <w:pPr>
        <w:spacing w:before="100" w:beforeAutospacing="1" w:after="0"/>
        <w:ind w:left="1134" w:hanging="567"/>
        <w:rPr>
          <w:rFonts w:ascii="Times New Roman" w:hAnsi="Times New Roman"/>
          <w:sz w:val="22"/>
          <w:szCs w:val="22"/>
          <w:lang w:val="pl-PL"/>
        </w:rPr>
      </w:pPr>
      <w:r w:rsidRPr="003D257A">
        <w:rPr>
          <w:rFonts w:ascii="Times New Roman" w:hAnsi="Times New Roman"/>
          <w:sz w:val="22"/>
          <w:szCs w:val="22"/>
          <w:lang w:val="pl-PL"/>
        </w:rPr>
        <w:t xml:space="preserve">           </w:t>
      </w:r>
      <w:r w:rsidRPr="003D257A">
        <w:rPr>
          <w:rFonts w:ascii="Times New Roman" w:hAnsi="Times New Roman"/>
          <w:color w:val="1F1F1F"/>
          <w:sz w:val="22"/>
          <w:szCs w:val="22"/>
          <w:shd w:val="clear" w:color="auto" w:fill="E9EEF6"/>
          <w:lang w:val="pl-PL"/>
        </w:rPr>
        <w:t>project.cooltour2022@gmail.com</w:t>
      </w:r>
    </w:p>
    <w:p w14:paraId="6925ED4D" w14:textId="77777777" w:rsidR="00821431" w:rsidRPr="003D257A" w:rsidRDefault="00821431" w:rsidP="004F7A0E">
      <w:pPr>
        <w:ind w:left="1134" w:hanging="567"/>
        <w:rPr>
          <w:rFonts w:ascii="Times New Roman" w:hAnsi="Times New Roman"/>
          <w:sz w:val="22"/>
          <w:szCs w:val="22"/>
          <w:lang w:val="pl-PL"/>
        </w:rPr>
      </w:pP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0080E9EE" w14:textId="60CB06BA" w:rsidR="0047783A" w:rsidRPr="003D6B6C" w:rsidRDefault="0047783A" w:rsidP="004F7A0E">
      <w:pPr>
        <w:spacing w:before="240"/>
        <w:ind w:left="1134" w:hanging="1134"/>
        <w:jc w:val="both"/>
        <w:rPr>
          <w:rFonts w:ascii="Times New Roman" w:hAnsi="Times New Roman"/>
          <w:b/>
          <w:sz w:val="24"/>
          <w:szCs w:val="24"/>
        </w:rPr>
      </w:pPr>
      <w:r w:rsidRPr="007A7EBC">
        <w:rPr>
          <w:rFonts w:ascii="Times New Roman" w:hAnsi="Times New Roman"/>
          <w:b/>
          <w:sz w:val="24"/>
          <w:szCs w:val="24"/>
        </w:rPr>
        <w:t>Article 6</w:t>
      </w:r>
      <w:r w:rsidRPr="007A7EBC">
        <w:rPr>
          <w:rFonts w:ascii="Times New Roman" w:hAnsi="Times New Roman"/>
          <w:b/>
          <w:sz w:val="24"/>
          <w:szCs w:val="24"/>
        </w:rPr>
        <w:tab/>
        <w:t>Subcontracting</w:t>
      </w:r>
    </w:p>
    <w:p w14:paraId="6C9B0B7A" w14:textId="4403CC8D" w:rsidR="0047783A" w:rsidRPr="003D6B6C" w:rsidRDefault="00923EDA" w:rsidP="004F7A0E">
      <w:pPr>
        <w:widowControl w:val="0"/>
        <w:ind w:left="1134" w:hanging="567"/>
        <w:jc w:val="both"/>
        <w:rPr>
          <w:rFonts w:ascii="Times New Roman" w:hAnsi="Times New Roman"/>
          <w:sz w:val="22"/>
          <w:szCs w:val="22"/>
        </w:rPr>
      </w:pPr>
      <w:r w:rsidRPr="003D6B6C">
        <w:rPr>
          <w:rFonts w:ascii="Times New Roman" w:hAnsi="Times New Roman"/>
          <w:sz w:val="22"/>
          <w:szCs w:val="22"/>
        </w:rPr>
        <w:t>6.3</w:t>
      </w:r>
      <w:r w:rsidRPr="003D6B6C">
        <w:rPr>
          <w:rFonts w:ascii="Times New Roman" w:hAnsi="Times New Roman"/>
          <w:sz w:val="22"/>
          <w:szCs w:val="22"/>
        </w:rPr>
        <w:tab/>
      </w:r>
      <w:r w:rsidR="007A7EBC" w:rsidRPr="007A7EBC">
        <w:rPr>
          <w:rFonts w:ascii="Times New Roman" w:hAnsi="Times New Roman"/>
          <w:sz w:val="22"/>
          <w:szCs w:val="22"/>
        </w:rPr>
        <w:t>When selecting subcontractors the contractor must give preference to natural persons or companies from ACP States capable of implementing the tasks required on similar terms</w:t>
      </w:r>
      <w:r w:rsidR="007A7EBC">
        <w:rPr>
          <w:rFonts w:ascii="Times New Roman" w:hAnsi="Times New Roman"/>
          <w:sz w:val="22"/>
          <w:szCs w:val="22"/>
        </w:rPr>
        <w:t>.</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2F775835" w14:textId="6A1B6369" w:rsidR="007A7EBC" w:rsidRPr="007A7EBC" w:rsidRDefault="007A7EBC" w:rsidP="007A7EBC">
      <w:pPr>
        <w:jc w:val="both"/>
        <w:rPr>
          <w:rFonts w:ascii="Times New Roman" w:hAnsi="Times New Roman"/>
          <w:sz w:val="22"/>
          <w:szCs w:val="22"/>
        </w:rPr>
      </w:pPr>
      <w:r w:rsidRPr="007A7EBC">
        <w:t xml:space="preserve"> </w:t>
      </w:r>
      <w:r>
        <w:rPr>
          <w:rFonts w:ascii="Times New Roman" w:hAnsi="Times New Roman"/>
          <w:sz w:val="22"/>
          <w:szCs w:val="22"/>
        </w:rPr>
        <w:t xml:space="preserve">- </w:t>
      </w:r>
      <w:r w:rsidRPr="007A7EBC">
        <w:rPr>
          <w:rFonts w:ascii="Times New Roman" w:hAnsi="Times New Roman"/>
          <w:sz w:val="22"/>
          <w:szCs w:val="22"/>
        </w:rPr>
        <w:t>Preparation of technical feasibility study and work plan for contract implementation in North Macedonia and in Albania</w:t>
      </w:r>
      <w:r>
        <w:rPr>
          <w:rFonts w:ascii="Times New Roman" w:hAnsi="Times New Roman"/>
          <w:sz w:val="22"/>
          <w:szCs w:val="22"/>
        </w:rPr>
        <w:t>,</w:t>
      </w:r>
    </w:p>
    <w:p w14:paraId="1827D2BA" w14:textId="0356DEFC" w:rsidR="007A7EBC" w:rsidRDefault="007A7EBC" w:rsidP="007A7EBC">
      <w:pPr>
        <w:spacing w:before="0"/>
        <w:jc w:val="both"/>
        <w:rPr>
          <w:rFonts w:ascii="Times New Roman" w:hAnsi="Times New Roman"/>
          <w:sz w:val="22"/>
          <w:szCs w:val="22"/>
        </w:rPr>
      </w:pPr>
      <w:r>
        <w:rPr>
          <w:rFonts w:ascii="Times New Roman" w:hAnsi="Times New Roman"/>
          <w:sz w:val="22"/>
          <w:szCs w:val="22"/>
        </w:rPr>
        <w:t xml:space="preserve">- </w:t>
      </w:r>
      <w:r w:rsidRPr="007A7EBC">
        <w:rPr>
          <w:rFonts w:ascii="Times New Roman" w:hAnsi="Times New Roman"/>
          <w:sz w:val="22"/>
          <w:szCs w:val="22"/>
        </w:rPr>
        <w:t>Certificate CE of products</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490BDFDD" w14:textId="75C16023" w:rsidR="0047783A" w:rsidRPr="003D6B6C" w:rsidRDefault="007A7EBC" w:rsidP="00B34179">
      <w:pPr>
        <w:jc w:val="both"/>
        <w:rPr>
          <w:rFonts w:ascii="Times New Roman" w:hAnsi="Times New Roman"/>
          <w:sz w:val="22"/>
          <w:szCs w:val="22"/>
        </w:rPr>
      </w:pPr>
      <w:r w:rsidRPr="007A7EBC">
        <w:rPr>
          <w:rFonts w:ascii="Times New Roman" w:hAnsi="Times New Roman"/>
          <w:sz w:val="22"/>
          <w:szCs w:val="22"/>
        </w:rPr>
        <w:t>Licence in case of requirements by country</w:t>
      </w:r>
      <w:r>
        <w:rPr>
          <w:rFonts w:ascii="Times New Roman" w:hAnsi="Times New Roman"/>
          <w:sz w:val="22"/>
          <w:szCs w:val="22"/>
        </w:rPr>
        <w:t>.</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lastRenderedPageBreak/>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3078A181" w:rsidR="00E0396B" w:rsidRPr="003D6B6C" w:rsidRDefault="00E0396B" w:rsidP="006B5E82">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445BB7" w:rsidRPr="00445BB7">
        <w:rPr>
          <w:rFonts w:ascii="Times New Roman" w:hAnsi="Times New Roman"/>
          <w:sz w:val="22"/>
          <w:szCs w:val="22"/>
        </w:rPr>
        <w:t>Communication and Visibility Requirements for EU-funded external action, laid down and published by the European Commission</w:t>
      </w:r>
      <w:r w:rsidR="00445BB7">
        <w:rPr>
          <w:rFonts w:ascii="Times New Roman" w:hAnsi="Times New Roman"/>
          <w:sz w:val="22"/>
          <w:szCs w:val="22"/>
        </w:rPr>
        <w:t>.</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49B1063D" w14:textId="77777777" w:rsidR="00A26B50" w:rsidRPr="00A26B50" w:rsidRDefault="0047783A" w:rsidP="00A26B50">
      <w:pPr>
        <w:shd w:val="clear" w:color="auto" w:fill="FFFFFF"/>
        <w:ind w:left="1134" w:hanging="708"/>
        <w:rPr>
          <w:rFonts w:cs="Arial"/>
          <w:snapToGrid/>
          <w:color w:val="222222"/>
          <w:lang w:eastAsia="en-GB"/>
        </w:rPr>
      </w:pPr>
      <w:r w:rsidRPr="003D6B6C">
        <w:rPr>
          <w:rFonts w:ascii="Times New Roman" w:hAnsi="Times New Roman"/>
          <w:sz w:val="22"/>
          <w:szCs w:val="22"/>
        </w:rPr>
        <w:t>10.1</w:t>
      </w:r>
      <w:r w:rsidRPr="003D6B6C">
        <w:rPr>
          <w:rFonts w:ascii="Times New Roman" w:hAnsi="Times New Roman"/>
          <w:sz w:val="22"/>
          <w:szCs w:val="22"/>
        </w:rPr>
        <w:tab/>
      </w:r>
      <w:bookmarkStart w:id="6" w:name="_Toc124934901"/>
      <w:r w:rsidR="00A26B50" w:rsidRPr="00A26B50">
        <w:rPr>
          <w:rFonts w:ascii="Times New Roman" w:hAnsi="Times New Roman"/>
          <w:snapToGrid/>
          <w:color w:val="222222"/>
          <w:sz w:val="22"/>
          <w:szCs w:val="22"/>
          <w:lang w:eastAsia="en-GB"/>
        </w:rPr>
        <w:t>All goods purchased must originate in an eligible source country as defined in the Instrument for Pre-Accession Assistance 2014-2020 (IPA II)  under the Regulation (EU) N°236/2014</w:t>
      </w:r>
      <w:r w:rsidR="00A26B50" w:rsidRPr="00A26B50">
        <w:rPr>
          <w:rFonts w:cs="Arial"/>
          <w:snapToGrid/>
          <w:color w:val="222222"/>
          <w:lang w:eastAsia="en-GB"/>
        </w:rPr>
        <w:t> </w:t>
      </w:r>
      <w:r w:rsidR="00A26B50" w:rsidRPr="00A26B50">
        <w:rPr>
          <w:rFonts w:ascii="Times New Roman" w:hAnsi="Times New Roman"/>
          <w:snapToGrid/>
          <w:color w:val="222222"/>
          <w:sz w:val="22"/>
          <w:szCs w:val="22"/>
          <w:lang w:eastAsia="en-GB"/>
        </w:rPr>
        <w:t>. For these purposes, ‘origin’ means the place where the goods are mined, grown, produced or manufactured. The origin of the goods must be determined according to the EU Customs Code or to the relevant international agreement applicable.</w:t>
      </w:r>
    </w:p>
    <w:p w14:paraId="27493032" w14:textId="54288B4E" w:rsidR="00A26B50" w:rsidRPr="00A26B50" w:rsidRDefault="00A26B50" w:rsidP="00A26B50">
      <w:pPr>
        <w:shd w:val="clear" w:color="auto" w:fill="FFFFFF"/>
        <w:ind w:left="1134" w:hanging="708"/>
        <w:rPr>
          <w:rFonts w:cs="Arial"/>
          <w:snapToGrid/>
          <w:color w:val="222222"/>
          <w:lang w:eastAsia="en-GB"/>
        </w:rPr>
      </w:pPr>
      <w:r>
        <w:rPr>
          <w:rFonts w:ascii="Times New Roman" w:hAnsi="Times New Roman"/>
          <w:snapToGrid/>
          <w:color w:val="222222"/>
          <w:sz w:val="22"/>
          <w:szCs w:val="22"/>
          <w:lang w:val="mk-MK" w:eastAsia="en-GB"/>
        </w:rPr>
        <w:t xml:space="preserve">             </w:t>
      </w:r>
      <w:r w:rsidRPr="00A26B50">
        <w:rPr>
          <w:rFonts w:ascii="Times New Roman" w:hAnsi="Times New Roman"/>
          <w:snapToGrid/>
          <w:color w:val="222222"/>
          <w:sz w:val="22"/>
          <w:szCs w:val="22"/>
          <w:lang w:eastAsia="en-GB"/>
        </w:rPr>
        <w:t>Goods originating in the EU includes goods originating in the Overseas Countries and Territories</w:t>
      </w:r>
    </w:p>
    <w:p w14:paraId="08F8112F" w14:textId="3DCAC66E" w:rsidR="0047783A" w:rsidRPr="003D257A" w:rsidRDefault="0047783A" w:rsidP="00A26B50">
      <w:pPr>
        <w:pStyle w:val="Heading2"/>
        <w:keepNext w:val="0"/>
        <w:numPr>
          <w:ilvl w:val="1"/>
          <w:numId w:val="0"/>
        </w:numPr>
        <w:spacing w:after="0"/>
        <w:ind w:left="1134" w:hanging="709"/>
        <w:jc w:val="both"/>
        <w:rPr>
          <w:rFonts w:ascii="Times New Roman" w:hAnsi="Times New Roman"/>
          <w:b/>
          <w:sz w:val="24"/>
          <w:szCs w:val="24"/>
          <w:lang w:val="en-US"/>
        </w:rPr>
      </w:pPr>
      <w:r w:rsidRPr="003D257A">
        <w:rPr>
          <w:rFonts w:ascii="Times New Roman" w:hAnsi="Times New Roman"/>
          <w:b/>
          <w:sz w:val="24"/>
          <w:szCs w:val="24"/>
          <w:lang w:val="en-US"/>
        </w:rPr>
        <w:t>Article 11</w:t>
      </w:r>
      <w:r w:rsidRPr="003D257A">
        <w:rPr>
          <w:rFonts w:ascii="Times New Roman" w:hAnsi="Times New Roman"/>
          <w:b/>
          <w:sz w:val="24"/>
          <w:szCs w:val="24"/>
          <w:lang w:val="en-US"/>
        </w:rPr>
        <w:tab/>
        <w:t>Performance guarantee</w:t>
      </w:r>
      <w:bookmarkEnd w:id="6"/>
    </w:p>
    <w:p w14:paraId="20BFEFF7" w14:textId="3B69ACA2" w:rsidR="00D25711" w:rsidRPr="003D6B6C" w:rsidRDefault="00F355C1" w:rsidP="00367A60">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6B0D5F" w:rsidRPr="003D257A">
        <w:rPr>
          <w:rFonts w:ascii="Times New Roman" w:hAnsi="Times New Roman"/>
          <w:sz w:val="22"/>
          <w:szCs w:val="22"/>
        </w:rPr>
        <w:t>5 %</w:t>
      </w:r>
      <w:r w:rsidR="006B0D5F">
        <w:rPr>
          <w:rFonts w:ascii="Times New Roman" w:hAnsi="Times New Roman"/>
          <w:sz w:val="22"/>
          <w:szCs w:val="22"/>
        </w:rPr>
        <w:t xml:space="preserve"> </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59F19A3F" w14:textId="1AE3FABC" w:rsidR="004D33C9" w:rsidRPr="003D6B6C" w:rsidRDefault="004D33C9" w:rsidP="00367A60">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3D6B6C">
        <w:rPr>
          <w:rFonts w:ascii="Times New Roman" w:hAnsi="Times New Roman"/>
          <w:sz w:val="22"/>
          <w:szCs w:val="22"/>
        </w:rPr>
        <w:tab/>
      </w:r>
      <w:r w:rsidR="00367A60" w:rsidRPr="00367A60">
        <w:rPr>
          <w:rFonts w:ascii="Times New Roman" w:hAnsi="Times New Roman"/>
          <w:sz w:val="22"/>
          <w:szCs w:val="22"/>
        </w:rPr>
        <w:t>By way of derogation from Article 12.1(a), paragraph 2, of the general conditions, compensation for damage to the supplies resulting from the contractor's liability in respect of the contracting authority is capped at an amount equal to damaged items of supplies as it is stated in the contract</w:t>
      </w:r>
      <w:r w:rsidR="00367A60">
        <w:rPr>
          <w:rFonts w:ascii="Times New Roman" w:hAnsi="Times New Roman"/>
          <w:sz w:val="22"/>
          <w:szCs w:val="22"/>
        </w:rPr>
        <w:t>.</w:t>
      </w:r>
    </w:p>
    <w:p w14:paraId="24AC6E95" w14:textId="37F607E2" w:rsidR="004D33C9" w:rsidRPr="003D6B6C" w:rsidRDefault="004D33C9" w:rsidP="00367A60">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w:t>
      </w:r>
      <w:r w:rsidR="003D6B6C">
        <w:rPr>
          <w:rFonts w:ascii="Times New Roman" w:hAnsi="Times New Roman"/>
          <w:sz w:val="22"/>
          <w:szCs w:val="22"/>
        </w:rPr>
        <w:t>1</w:t>
      </w:r>
      <w:r w:rsidR="001020D9">
        <w:rPr>
          <w:rFonts w:ascii="Times New Roman" w:hAnsi="Times New Roman"/>
          <w:sz w:val="22"/>
          <w:szCs w:val="22"/>
        </w:rPr>
        <w:t>(</w:t>
      </w:r>
      <w:r w:rsidRPr="003D6B6C">
        <w:rPr>
          <w:rFonts w:ascii="Times New Roman" w:hAnsi="Times New Roman"/>
          <w:sz w:val="22"/>
          <w:szCs w:val="22"/>
        </w:rPr>
        <w:t>b)</w:t>
      </w:r>
      <w:r w:rsidR="003D6B6C">
        <w:rPr>
          <w:rFonts w:ascii="Times New Roman" w:hAnsi="Times New Roman"/>
          <w:sz w:val="22"/>
          <w:szCs w:val="22"/>
        </w:rPr>
        <w:tab/>
      </w:r>
      <w:r w:rsidR="00367A60" w:rsidRPr="00367A60">
        <w:rPr>
          <w:rFonts w:ascii="Times New Roman" w:hAnsi="Times New Roman"/>
          <w:sz w:val="22"/>
          <w:szCs w:val="22"/>
        </w:rPr>
        <w:t>By way of derogation from Article 12.1(b), paragraph 2, of the general conditions, compensation for damage resulting from the contractor's liability in respect of the contracting authority is capped at an amount equal to complete with an amount that can be a multiple or fraction of the contract value</w:t>
      </w:r>
      <w:r w:rsidR="00367A60">
        <w:rPr>
          <w:rFonts w:ascii="Times New Roman" w:hAnsi="Times New Roman"/>
          <w:sz w:val="22"/>
          <w:szCs w:val="22"/>
        </w:rPr>
        <w:t>.</w:t>
      </w:r>
    </w:p>
    <w:p w14:paraId="3971D5D3" w14:textId="5190DFCB" w:rsidR="004D33C9" w:rsidRPr="003D6B6C" w:rsidRDefault="003D6B6C" w:rsidP="00367A60">
      <w:pPr>
        <w:tabs>
          <w:tab w:val="left" w:pos="1843"/>
        </w:tabs>
        <w:spacing w:before="240"/>
        <w:ind w:left="1843" w:hanging="1843"/>
        <w:jc w:val="both"/>
        <w:rPr>
          <w:rFonts w:ascii="Times New Roman" w:hAnsi="Times New Roman"/>
          <w:sz w:val="22"/>
          <w:szCs w:val="22"/>
        </w:rPr>
      </w:pPr>
      <w:r>
        <w:rPr>
          <w:rFonts w:ascii="Times New Roman" w:hAnsi="Times New Roman"/>
          <w:sz w:val="22"/>
          <w:szCs w:val="22"/>
        </w:rPr>
        <w:t>12.2</w:t>
      </w:r>
      <w:r w:rsidR="001020D9">
        <w:rPr>
          <w:rFonts w:ascii="Times New Roman" w:hAnsi="Times New Roman"/>
          <w:sz w:val="22"/>
          <w:szCs w:val="22"/>
        </w:rPr>
        <w:t>(</w:t>
      </w:r>
      <w:r w:rsidR="004D33C9" w:rsidRPr="003D6B6C">
        <w:rPr>
          <w:rFonts w:ascii="Times New Roman" w:hAnsi="Times New Roman"/>
          <w:sz w:val="22"/>
          <w:szCs w:val="22"/>
        </w:rPr>
        <w:t>a), paragraph 1</w:t>
      </w:r>
      <w:r>
        <w:rPr>
          <w:rFonts w:ascii="Times New Roman" w:hAnsi="Times New Roman"/>
          <w:sz w:val="22"/>
          <w:szCs w:val="22"/>
        </w:rPr>
        <w:tab/>
      </w:r>
      <w:r w:rsidR="00367A60" w:rsidRPr="00367A60">
        <w:rPr>
          <w:rFonts w:ascii="Times New Roman" w:hAnsi="Times New Roman"/>
          <w:sz w:val="22"/>
          <w:szCs w:val="22"/>
        </w:rPr>
        <w:t xml:space="preserve">By derogation from Article 12.2(a), paragraph </w:t>
      </w:r>
      <w:r w:rsidR="00367A60">
        <w:rPr>
          <w:rFonts w:ascii="Times New Roman" w:hAnsi="Times New Roman"/>
          <w:sz w:val="22"/>
          <w:szCs w:val="22"/>
        </w:rPr>
        <w:t>1, of the general conditions</w:t>
      </w:r>
      <w:r w:rsidR="00367A60" w:rsidRPr="00367A60">
        <w:rPr>
          <w:rFonts w:ascii="Times New Roman" w:hAnsi="Times New Roman"/>
          <w:sz w:val="22"/>
          <w:szCs w:val="22"/>
        </w:rPr>
        <w:t>, the contractor shall ensure that itself, its personnel, its subcontractors and any person for which the contractor is answerable, are adequately insured with insurance companies recognized on the international insurance market, unless the contracting authority has given its express written consent on a specific insurance company.</w:t>
      </w:r>
    </w:p>
    <w:p w14:paraId="2520C1EC" w14:textId="4D53BFB0" w:rsidR="004D33C9" w:rsidRPr="003D6B6C" w:rsidRDefault="003D6B6C" w:rsidP="00367A60">
      <w:pPr>
        <w:tabs>
          <w:tab w:val="left" w:pos="1843"/>
        </w:tabs>
        <w:spacing w:before="240"/>
        <w:ind w:left="1843" w:hanging="1843"/>
        <w:jc w:val="both"/>
        <w:rPr>
          <w:rFonts w:ascii="Times New Roman" w:hAnsi="Times New Roman"/>
          <w:sz w:val="22"/>
          <w:szCs w:val="22"/>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a</w:t>
      </w:r>
      <w:r w:rsidR="004D33C9" w:rsidRPr="003D6B6C">
        <w:rPr>
          <w:rFonts w:ascii="Times New Roman" w:hAnsi="Times New Roman"/>
          <w:sz w:val="22"/>
          <w:szCs w:val="22"/>
        </w:rPr>
        <w:t xml:space="preserve">), paragraph </w:t>
      </w:r>
      <w:r>
        <w:rPr>
          <w:rFonts w:ascii="Times New Roman" w:hAnsi="Times New Roman"/>
          <w:sz w:val="22"/>
          <w:szCs w:val="22"/>
        </w:rPr>
        <w:t>2</w:t>
      </w:r>
      <w:r>
        <w:rPr>
          <w:rFonts w:ascii="Times New Roman" w:hAnsi="Times New Roman"/>
          <w:sz w:val="22"/>
          <w:szCs w:val="22"/>
        </w:rPr>
        <w:tab/>
      </w:r>
      <w:r w:rsidR="00367A60" w:rsidRPr="00367A60">
        <w:rPr>
          <w:rFonts w:ascii="Times New Roman" w:hAnsi="Times New Roman"/>
          <w:sz w:val="22"/>
          <w:szCs w:val="22"/>
        </w:rPr>
        <w:t>By derogation from Article 12.2(a), paragraph 2, of the general conditions it is  that the contractor shall provide the contracting authority with all cover notes and/or insurance certificates showing that the contractor's obligations relating to insurance are fully respected</w:t>
      </w:r>
      <w:r w:rsidR="00367A60">
        <w:rPr>
          <w:rFonts w:ascii="Times New Roman" w:hAnsi="Times New Roman"/>
          <w:sz w:val="22"/>
          <w:szCs w:val="22"/>
        </w:rPr>
        <w:t>.</w:t>
      </w:r>
    </w:p>
    <w:p w14:paraId="30C505EF" w14:textId="41F2AC2C" w:rsidR="00F51D3D" w:rsidRPr="00367A60" w:rsidRDefault="003D6B6C" w:rsidP="00367A60">
      <w:pPr>
        <w:ind w:left="1843" w:hanging="1843"/>
        <w:jc w:val="both"/>
        <w:rPr>
          <w:rFonts w:ascii="Times New Roman" w:hAnsi="Times New Roman"/>
          <w:color w:val="222222"/>
          <w:sz w:val="22"/>
          <w:szCs w:val="22"/>
          <w:lang w:val="en"/>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b), paragraph 2</w:t>
      </w:r>
      <w:r w:rsidR="00367A60">
        <w:rPr>
          <w:rFonts w:ascii="Times New Roman" w:hAnsi="Times New Roman"/>
          <w:color w:val="222222"/>
          <w:sz w:val="22"/>
          <w:szCs w:val="22"/>
          <w:lang w:val="en"/>
        </w:rPr>
        <w:t xml:space="preserve"> </w:t>
      </w:r>
      <w:r w:rsidR="00E76535" w:rsidRPr="00367A60">
        <w:rPr>
          <w:rFonts w:ascii="Times New Roman" w:hAnsi="Times New Roman"/>
          <w:color w:val="222222"/>
          <w:sz w:val="22"/>
          <w:szCs w:val="22"/>
          <w:lang w:val="en"/>
        </w:rPr>
        <w:t>In the case of use of Incoterms</w:t>
      </w:r>
      <w:r w:rsidR="00F51D3D" w:rsidRPr="00367A60">
        <w:rPr>
          <w:rFonts w:ascii="Times New Roman" w:hAnsi="Times New Roman"/>
          <w:color w:val="222222"/>
          <w:sz w:val="22"/>
          <w:szCs w:val="22"/>
          <w:lang w:val="en"/>
        </w:rPr>
        <w:t xml:space="preserve">, the </w:t>
      </w:r>
      <w:r w:rsidR="00B2529B" w:rsidRPr="00367A60">
        <w:rPr>
          <w:rFonts w:ascii="Times New Roman" w:hAnsi="Times New Roman"/>
          <w:color w:val="222222"/>
          <w:sz w:val="22"/>
          <w:szCs w:val="22"/>
          <w:lang w:val="en"/>
        </w:rPr>
        <w:t>c</w:t>
      </w:r>
      <w:r w:rsidR="00F51D3D" w:rsidRPr="00367A60">
        <w:rPr>
          <w:rFonts w:ascii="Times New Roman" w:hAnsi="Times New Roman"/>
          <w:color w:val="222222"/>
          <w:sz w:val="22"/>
          <w:szCs w:val="22"/>
          <w:lang w:val="en"/>
        </w:rPr>
        <w:t xml:space="preserve">ontractor </w:t>
      </w:r>
      <w:r w:rsidR="0043157A" w:rsidRPr="00367A60">
        <w:rPr>
          <w:rFonts w:ascii="Times New Roman" w:hAnsi="Times New Roman"/>
          <w:color w:val="222222"/>
          <w:sz w:val="22"/>
          <w:szCs w:val="22"/>
          <w:lang w:val="en"/>
        </w:rPr>
        <w:t xml:space="preserve">shall provide transport insurance </w:t>
      </w:r>
      <w:r w:rsidR="00F51D3D" w:rsidRPr="00367A60">
        <w:rPr>
          <w:rFonts w:ascii="Times New Roman" w:hAnsi="Times New Roman"/>
          <w:color w:val="222222"/>
          <w:sz w:val="22"/>
          <w:szCs w:val="22"/>
          <w:lang w:val="en"/>
        </w:rPr>
        <w:t>to the extent that it assumes transportation</w:t>
      </w:r>
      <w:r w:rsidR="00E76535" w:rsidRPr="00367A60">
        <w:rPr>
          <w:rFonts w:ascii="Times New Roman" w:hAnsi="Times New Roman"/>
          <w:color w:val="222222"/>
          <w:sz w:val="22"/>
          <w:szCs w:val="22"/>
          <w:lang w:val="en"/>
        </w:rPr>
        <w:t xml:space="preserve"> risks</w:t>
      </w:r>
      <w:r w:rsidR="00F51D3D" w:rsidRPr="00367A60">
        <w:rPr>
          <w:rFonts w:ascii="Times New Roman" w:hAnsi="Times New Roman"/>
          <w:color w:val="222222"/>
          <w:sz w:val="22"/>
          <w:szCs w:val="22"/>
          <w:lang w:val="en"/>
        </w:rPr>
        <w:t>. The question of the exte</w:t>
      </w:r>
      <w:r w:rsidR="00E76535" w:rsidRPr="00367A60">
        <w:rPr>
          <w:rFonts w:ascii="Times New Roman" w:hAnsi="Times New Roman"/>
          <w:color w:val="222222"/>
          <w:sz w:val="22"/>
          <w:szCs w:val="22"/>
          <w:lang w:val="en"/>
        </w:rPr>
        <w:t xml:space="preserve">nt of the risks assumed by the </w:t>
      </w:r>
      <w:r w:rsidR="00B2529B" w:rsidRPr="00367A60">
        <w:rPr>
          <w:rFonts w:ascii="Times New Roman" w:hAnsi="Times New Roman"/>
          <w:color w:val="222222"/>
          <w:sz w:val="22"/>
          <w:szCs w:val="22"/>
          <w:lang w:val="en"/>
        </w:rPr>
        <w:t>c</w:t>
      </w:r>
      <w:r w:rsidR="00E76535" w:rsidRPr="00367A60">
        <w:rPr>
          <w:rFonts w:ascii="Times New Roman" w:hAnsi="Times New Roman"/>
          <w:color w:val="222222"/>
          <w:sz w:val="22"/>
          <w:szCs w:val="22"/>
          <w:lang w:val="en"/>
        </w:rPr>
        <w:t>ontractor (</w:t>
      </w:r>
      <w:r w:rsidR="00F51D3D" w:rsidRPr="00367A60">
        <w:rPr>
          <w:rFonts w:ascii="Times New Roman" w:hAnsi="Times New Roman"/>
          <w:color w:val="222222"/>
          <w:sz w:val="22"/>
          <w:szCs w:val="22"/>
          <w:lang w:val="en"/>
        </w:rPr>
        <w:t xml:space="preserve">seller) depends in particular on </w:t>
      </w:r>
      <w:r w:rsidR="00E76535" w:rsidRPr="00367A60">
        <w:rPr>
          <w:rFonts w:ascii="Times New Roman" w:hAnsi="Times New Roman"/>
          <w:color w:val="222222"/>
          <w:sz w:val="22"/>
          <w:szCs w:val="22"/>
          <w:lang w:val="en"/>
        </w:rPr>
        <w:t xml:space="preserve">the </w:t>
      </w:r>
      <w:r w:rsidR="00F51D3D" w:rsidRPr="00367A60">
        <w:rPr>
          <w:rFonts w:ascii="Times New Roman" w:hAnsi="Times New Roman"/>
          <w:color w:val="222222"/>
          <w:sz w:val="22"/>
          <w:szCs w:val="22"/>
          <w:lang w:val="en"/>
        </w:rPr>
        <w:t>Incoter</w:t>
      </w:r>
      <w:r w:rsidR="00E76535" w:rsidRPr="00367A60">
        <w:rPr>
          <w:rFonts w:ascii="Times New Roman" w:hAnsi="Times New Roman"/>
          <w:color w:val="222222"/>
          <w:sz w:val="22"/>
          <w:szCs w:val="22"/>
          <w:lang w:val="en"/>
        </w:rPr>
        <w:t>ms used</w:t>
      </w:r>
      <w:r w:rsidR="00F51D3D" w:rsidRPr="00367A60">
        <w:rPr>
          <w:rFonts w:ascii="Times New Roman" w:hAnsi="Times New Roman"/>
          <w:color w:val="222222"/>
          <w:sz w:val="22"/>
          <w:szCs w:val="22"/>
          <w:lang w:val="en"/>
        </w:rPr>
        <w:t>:</w:t>
      </w:r>
    </w:p>
    <w:p w14:paraId="121BF8E7" w14:textId="77777777" w:rsidR="0045678B" w:rsidRPr="00367A60" w:rsidRDefault="00E76535" w:rsidP="003D6B6C">
      <w:pPr>
        <w:pStyle w:val="Default"/>
        <w:numPr>
          <w:ilvl w:val="0"/>
          <w:numId w:val="22"/>
        </w:numPr>
        <w:ind w:left="2268"/>
        <w:jc w:val="both"/>
        <w:rPr>
          <w:sz w:val="22"/>
          <w:szCs w:val="22"/>
        </w:rPr>
      </w:pPr>
      <w:r w:rsidRPr="00367A60">
        <w:rPr>
          <w:b/>
          <w:i/>
          <w:iCs/>
          <w:sz w:val="22"/>
          <w:szCs w:val="22"/>
        </w:rPr>
        <w:t>DAP - Delivered At Place</w:t>
      </w:r>
      <w:r w:rsidRPr="00367A60">
        <w:rPr>
          <w:i/>
          <w:iCs/>
          <w:sz w:val="22"/>
          <w:szCs w:val="22"/>
        </w:rPr>
        <w:t xml:space="preserve">: </w:t>
      </w:r>
      <w:r w:rsidR="0045678B" w:rsidRPr="00367A60">
        <w:rPr>
          <w:color w:val="222222"/>
          <w:sz w:val="22"/>
          <w:szCs w:val="22"/>
          <w:lang w:val="en"/>
        </w:rPr>
        <w:t xml:space="preserve">Incoterm whereby the </w:t>
      </w:r>
      <w:r w:rsidRPr="00367A60">
        <w:rPr>
          <w:sz w:val="22"/>
          <w:szCs w:val="22"/>
        </w:rPr>
        <w:t>buyer bears all risks and costs of import clearance</w:t>
      </w:r>
      <w:r w:rsidR="003439C4" w:rsidRPr="00367A60">
        <w:rPr>
          <w:sz w:val="22"/>
          <w:szCs w:val="22"/>
        </w:rPr>
        <w:t>:</w:t>
      </w:r>
    </w:p>
    <w:p w14:paraId="562868DE" w14:textId="77777777" w:rsidR="00E76535" w:rsidRPr="003D6B6C" w:rsidRDefault="00B2529B" w:rsidP="003D6B6C">
      <w:pPr>
        <w:pStyle w:val="Default"/>
        <w:ind w:left="2268"/>
        <w:jc w:val="both"/>
        <w:rPr>
          <w:sz w:val="22"/>
          <w:szCs w:val="22"/>
        </w:rPr>
      </w:pPr>
      <w:r w:rsidRPr="00367A60">
        <w:rPr>
          <w:i/>
          <w:iCs/>
          <w:sz w:val="22"/>
          <w:szCs w:val="22"/>
        </w:rPr>
        <w:t>‘</w:t>
      </w:r>
      <w:r w:rsidR="00E76535" w:rsidRPr="00367A60">
        <w:rPr>
          <w:i/>
          <w:iCs/>
          <w:sz w:val="22"/>
          <w:szCs w:val="22"/>
        </w:rPr>
        <w:t xml:space="preserve">the seller delivers when the goods are placed at the disposal of the buyer on the arriving means of transport ready for unloading at the named place of destination. The seller bears all risks involved in </w:t>
      </w:r>
      <w:r w:rsidR="00E76535" w:rsidRPr="00367A60">
        <w:rPr>
          <w:i/>
          <w:iCs/>
          <w:sz w:val="22"/>
          <w:szCs w:val="22"/>
        </w:rPr>
        <w:lastRenderedPageBreak/>
        <w:t>bringing the goods to the named place</w:t>
      </w:r>
      <w:r w:rsidRPr="00367A60">
        <w:rPr>
          <w:i/>
          <w:iCs/>
          <w:sz w:val="22"/>
          <w:szCs w:val="22"/>
        </w:rPr>
        <w:t>’</w:t>
      </w:r>
      <w:r w:rsidR="00297C14" w:rsidRPr="00367A60">
        <w:rPr>
          <w:rStyle w:val="FootnoteReference"/>
          <w:i/>
          <w:iCs/>
          <w:sz w:val="22"/>
          <w:szCs w:val="22"/>
        </w:rPr>
        <w:footnoteReference w:id="1"/>
      </w:r>
      <w:r w:rsidR="003439C4" w:rsidRPr="00367A60">
        <w:rPr>
          <w:iCs/>
          <w:sz w:val="22"/>
          <w:szCs w:val="22"/>
        </w:rPr>
        <w:t xml:space="preserve">, including </w:t>
      </w:r>
      <w:r w:rsidR="003439C4" w:rsidRPr="00367A60">
        <w:rPr>
          <w:color w:val="222222"/>
          <w:sz w:val="22"/>
          <w:szCs w:val="22"/>
          <w:lang w:val="en"/>
        </w:rPr>
        <w:t>customs clearance for export, but not for import at the port or at the border of the agreed place of destination</w:t>
      </w:r>
      <w:r w:rsidR="003439C4" w:rsidRPr="003D6B6C">
        <w:rPr>
          <w:color w:val="222222"/>
          <w:sz w:val="22"/>
          <w:szCs w:val="22"/>
          <w:lang w:val="en"/>
        </w:rPr>
        <w:t>.</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68CCF8F0" w14:textId="3463CA6F"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367A60" w:rsidRPr="00367A60">
        <w:rPr>
          <w:rFonts w:ascii="Times New Roman" w:hAnsi="Times New Roman"/>
          <w:sz w:val="22"/>
          <w:szCs w:val="22"/>
        </w:rPr>
        <w:t>S</w:t>
      </w:r>
      <w:r w:rsidR="005B0129" w:rsidRPr="00367A60">
        <w:rPr>
          <w:rFonts w:ascii="Times New Roman" w:hAnsi="Times New Roman"/>
          <w:sz w:val="22"/>
          <w:szCs w:val="22"/>
        </w:rPr>
        <w:t xml:space="preserve">ubmission of the programme of </w:t>
      </w:r>
      <w:r w:rsidR="0047783A" w:rsidRPr="00367A60">
        <w:rPr>
          <w:rFonts w:ascii="Times New Roman" w:hAnsi="Times New Roman"/>
          <w:sz w:val="22"/>
          <w:szCs w:val="22"/>
        </w:rPr>
        <w:t>implementation of the tasks</w:t>
      </w:r>
      <w:r w:rsidR="00367A60">
        <w:rPr>
          <w:rFonts w:ascii="Times New Roman" w:hAnsi="Times New Roman"/>
          <w:sz w:val="22"/>
          <w:szCs w:val="22"/>
        </w:rPr>
        <w:t xml:space="preserve"> shall be no later than 2 weeks from the signing of the contract.</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62741992" w14:textId="6D6C0D3B" w:rsidR="0047783A" w:rsidRPr="003D6B6C" w:rsidRDefault="005B0129" w:rsidP="00367A60">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367A60" w:rsidRPr="00367A60">
        <w:rPr>
          <w:rFonts w:ascii="Times New Roman" w:hAnsi="Times New Roman"/>
          <w:sz w:val="22"/>
          <w:szCs w:val="22"/>
        </w:rPr>
        <w:t>D</w:t>
      </w:r>
      <w:r w:rsidR="0047783A" w:rsidRPr="00367A60">
        <w:rPr>
          <w:rFonts w:ascii="Times New Roman" w:hAnsi="Times New Roman"/>
          <w:sz w:val="22"/>
          <w:szCs w:val="22"/>
        </w:rPr>
        <w:t>rawings and</w:t>
      </w:r>
      <w:r w:rsidR="00D662AA" w:rsidRPr="00367A60">
        <w:rPr>
          <w:rFonts w:ascii="Times New Roman" w:hAnsi="Times New Roman"/>
          <w:sz w:val="22"/>
          <w:szCs w:val="22"/>
        </w:rPr>
        <w:t>/</w:t>
      </w:r>
      <w:r w:rsidR="0047783A" w:rsidRPr="00367A60">
        <w:rPr>
          <w:rFonts w:ascii="Times New Roman" w:hAnsi="Times New Roman"/>
          <w:sz w:val="22"/>
          <w:szCs w:val="22"/>
        </w:rPr>
        <w:t xml:space="preserve">or samples required from the </w:t>
      </w:r>
      <w:r w:rsidR="00F60098" w:rsidRPr="00367A60">
        <w:rPr>
          <w:rFonts w:ascii="Times New Roman" w:hAnsi="Times New Roman"/>
          <w:sz w:val="22"/>
          <w:szCs w:val="22"/>
        </w:rPr>
        <w:t>c</w:t>
      </w:r>
      <w:r w:rsidR="00367A60" w:rsidRPr="00367A60">
        <w:rPr>
          <w:rFonts w:ascii="Times New Roman" w:hAnsi="Times New Roman"/>
          <w:sz w:val="22"/>
          <w:szCs w:val="22"/>
        </w:rPr>
        <w:t>ontractor: Preparation of technical feasibility study and work plan for contract implementation in</w:t>
      </w:r>
      <w:r w:rsidR="00367A60">
        <w:rPr>
          <w:rFonts w:ascii="Times New Roman" w:hAnsi="Times New Roman"/>
          <w:sz w:val="22"/>
          <w:szCs w:val="22"/>
        </w:rPr>
        <w:t xml:space="preserve"> North Macedonia and in Albania; Certificate CE of products;</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4B4F2207" w14:textId="34065B88"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367A60">
        <w:rPr>
          <w:rFonts w:ascii="Times New Roman" w:hAnsi="Times New Roman"/>
          <w:sz w:val="22"/>
          <w:szCs w:val="22"/>
        </w:rPr>
        <w:t>N/A.</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48A64DA8"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CD522F" w:rsidRPr="00CD522F">
        <w:rPr>
          <w:rFonts w:ascii="Times New Roman" w:hAnsi="Times New Roman"/>
          <w:sz w:val="22"/>
          <w:szCs w:val="22"/>
        </w:rPr>
        <w:t>D</w:t>
      </w:r>
      <w:r w:rsidR="00CD68C0" w:rsidRPr="00CD522F">
        <w:rPr>
          <w:rFonts w:ascii="Times New Roman" w:hAnsi="Times New Roman"/>
          <w:sz w:val="22"/>
          <w:szCs w:val="22"/>
        </w:rPr>
        <w:t xml:space="preserve">elivery conditions are DAP </w:t>
      </w:r>
      <w:r w:rsidR="00CD522F">
        <w:rPr>
          <w:rFonts w:ascii="Times New Roman" w:hAnsi="Times New Roman"/>
          <w:sz w:val="22"/>
          <w:szCs w:val="22"/>
        </w:rPr>
        <w:t>with no taxes and customs.</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43D1F54B" w14:textId="16BAEC4A"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CD522F" w:rsidRPr="00CD522F">
        <w:rPr>
          <w:rFonts w:ascii="Times New Roman" w:hAnsi="Times New Roman"/>
          <w:sz w:val="22"/>
          <w:szCs w:val="22"/>
        </w:rPr>
        <w:t>Applicable  Article 17 of the general conditions</w:t>
      </w:r>
      <w:r w:rsidR="00CD522F">
        <w:rPr>
          <w:rFonts w:ascii="Times New Roman" w:hAnsi="Times New Roman"/>
          <w:sz w:val="22"/>
          <w:szCs w:val="22"/>
        </w:rPr>
        <w:t>.</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14D4E012" w14:textId="568C1CA5" w:rsidR="0047783A"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CD522F" w:rsidRPr="00CD522F">
        <w:rPr>
          <w:rFonts w:ascii="Times New Roman" w:hAnsi="Times New Roman"/>
          <w:sz w:val="22"/>
          <w:szCs w:val="22"/>
        </w:rPr>
        <w:t>D</w:t>
      </w:r>
      <w:r w:rsidRPr="00CD522F">
        <w:rPr>
          <w:rFonts w:ascii="Times New Roman" w:hAnsi="Times New Roman"/>
          <w:sz w:val="22"/>
          <w:szCs w:val="22"/>
        </w:rPr>
        <w:t>ate on which implementation of the tasks is to commence</w:t>
      </w:r>
      <w:r w:rsidR="00CD522F" w:rsidRPr="003D257A">
        <w:rPr>
          <w:rFonts w:ascii="Times New Roman" w:hAnsi="Times New Roman"/>
          <w:sz w:val="22"/>
          <w:szCs w:val="22"/>
        </w:rPr>
        <w:t>:</w:t>
      </w:r>
      <w:bookmarkStart w:id="13" w:name="_Hlk181904902"/>
      <w:r w:rsidR="003472EB" w:rsidRPr="003D257A">
        <w:rPr>
          <w:rFonts w:ascii="Times New Roman" w:hAnsi="Times New Roman"/>
          <w:sz w:val="22"/>
        </w:rPr>
        <w:t xml:space="preserve"> 18 December 2024</w:t>
      </w:r>
      <w:bookmarkEnd w:id="13"/>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4"/>
      <w:r w:rsidRPr="003D6B6C">
        <w:rPr>
          <w:rFonts w:ascii="Times New Roman" w:hAnsi="Times New Roman"/>
          <w:b/>
          <w:sz w:val="24"/>
          <w:szCs w:val="24"/>
        </w:rPr>
        <w:t xml:space="preserve"> of the tasks</w:t>
      </w:r>
    </w:p>
    <w:p w14:paraId="24D80EC0" w14:textId="71B94AAE"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003976FF">
        <w:rPr>
          <w:rFonts w:ascii="Times New Roman" w:hAnsi="Times New Roman"/>
          <w:b/>
          <w:sz w:val="22"/>
          <w:szCs w:val="22"/>
        </w:rPr>
        <w:t xml:space="preserve">       </w:t>
      </w:r>
      <w:r w:rsidR="003976FF">
        <w:rPr>
          <w:rFonts w:ascii="Times New Roman" w:hAnsi="Times New Roman"/>
          <w:sz w:val="22"/>
          <w:szCs w:val="22"/>
        </w:rPr>
        <w:t>up to 6</w:t>
      </w:r>
      <w:r w:rsidR="006B0D5F">
        <w:rPr>
          <w:rFonts w:ascii="Times New Roman" w:hAnsi="Times New Roman"/>
          <w:sz w:val="22"/>
          <w:szCs w:val="22"/>
        </w:rPr>
        <w:t>0</w:t>
      </w:r>
      <w:r w:rsidR="00CD522F" w:rsidRPr="00CD522F">
        <w:rPr>
          <w:rFonts w:ascii="Times New Roman" w:hAnsi="Times New Roman"/>
          <w:sz w:val="22"/>
          <w:szCs w:val="22"/>
        </w:rPr>
        <w:t xml:space="preserve"> </w:t>
      </w:r>
      <w:r w:rsidRPr="00CD522F">
        <w:rPr>
          <w:rFonts w:ascii="Times New Roman" w:hAnsi="Times New Roman"/>
          <w:sz w:val="22"/>
          <w:szCs w:val="22"/>
        </w:rPr>
        <w:t>calendar days</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5"/>
    </w:p>
    <w:p w14:paraId="0506BF5F" w14:textId="7378A17F"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CD522F" w:rsidRPr="00CD522F">
        <w:rPr>
          <w:rFonts w:ascii="Times New Roman" w:hAnsi="Times New Roman"/>
          <w:sz w:val="22"/>
          <w:szCs w:val="22"/>
        </w:rPr>
        <w:t>P</w:t>
      </w:r>
      <w:r w:rsidR="0047783A" w:rsidRPr="00CD522F">
        <w:rPr>
          <w:rFonts w:ascii="Times New Roman" w:hAnsi="Times New Roman"/>
          <w:sz w:val="22"/>
          <w:szCs w:val="22"/>
        </w:rPr>
        <w:t>reliminary technical acceptance is required</w:t>
      </w:r>
      <w:r w:rsidR="00CD522F" w:rsidRPr="00CD522F">
        <w:rPr>
          <w:rFonts w:ascii="Times New Roman" w:hAnsi="Times New Roman"/>
          <w:sz w:val="22"/>
          <w:szCs w:val="22"/>
        </w:rPr>
        <w:t>.</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6"/>
    </w:p>
    <w:p w14:paraId="64178ACF" w14:textId="410188E4"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CD522F">
        <w:rPr>
          <w:rFonts w:ascii="Times New Roman" w:hAnsi="Times New Roman"/>
          <w:bCs/>
          <w:sz w:val="22"/>
          <w:szCs w:val="22"/>
        </w:rPr>
        <w:t>Inspection and testing of goods should be done after installation on places by specialised expert.</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7"/>
      <w:r w:rsidR="005B0129" w:rsidRPr="003D6B6C">
        <w:rPr>
          <w:rFonts w:ascii="Times New Roman" w:hAnsi="Times New Roman"/>
          <w:b/>
          <w:sz w:val="24"/>
          <w:szCs w:val="24"/>
        </w:rPr>
        <w:t>General principles for payments</w:t>
      </w:r>
    </w:p>
    <w:p w14:paraId="07537843" w14:textId="3D166825" w:rsidR="00CD522F" w:rsidRPr="003D6B6C" w:rsidRDefault="0047783A" w:rsidP="00CD522F">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CD522F">
        <w:rPr>
          <w:rFonts w:ascii="Times New Roman" w:hAnsi="Times New Roman"/>
          <w:sz w:val="22"/>
          <w:szCs w:val="22"/>
        </w:rPr>
        <w:t xml:space="preserve"> </w:t>
      </w:r>
      <w:r w:rsidRPr="00CD522F">
        <w:rPr>
          <w:rFonts w:ascii="Times New Roman" w:hAnsi="Times New Roman"/>
          <w:sz w:val="22"/>
          <w:szCs w:val="22"/>
        </w:rPr>
        <w:t>euro</w:t>
      </w:r>
      <w:r w:rsidR="00AB3AB0" w:rsidRPr="00CD522F">
        <w:rPr>
          <w:rFonts w:ascii="Times New Roman" w:hAnsi="Times New Roman"/>
          <w:sz w:val="22"/>
          <w:szCs w:val="22"/>
        </w:rPr>
        <w:t>s</w:t>
      </w:r>
      <w:r w:rsidRPr="00CD522F">
        <w:rPr>
          <w:rFonts w:ascii="Times New Roman" w:hAnsi="Times New Roman"/>
          <w:sz w:val="22"/>
          <w:szCs w:val="22"/>
        </w:rPr>
        <w:t>.</w:t>
      </w:r>
      <w:r w:rsidR="00CD522F">
        <w:rPr>
          <w:rFonts w:ascii="Times New Roman" w:hAnsi="Times New Roman"/>
          <w:sz w:val="22"/>
          <w:szCs w:val="22"/>
        </w:rPr>
        <w:t xml:space="preserve"> </w:t>
      </w:r>
    </w:p>
    <w:p w14:paraId="05D86986" w14:textId="23D575F8" w:rsidR="0047783A" w:rsidRPr="003D6B6C" w:rsidRDefault="00CD522F" w:rsidP="005D03AA">
      <w:pPr>
        <w:tabs>
          <w:tab w:val="right" w:pos="9885"/>
        </w:tabs>
        <w:ind w:left="1134"/>
        <w:jc w:val="both"/>
        <w:rPr>
          <w:rFonts w:ascii="Times New Roman" w:hAnsi="Times New Roman"/>
          <w:sz w:val="22"/>
          <w:szCs w:val="22"/>
        </w:rPr>
      </w:pPr>
      <w:r>
        <w:rPr>
          <w:rFonts w:ascii="Times New Roman" w:hAnsi="Times New Roman"/>
          <w:sz w:val="22"/>
          <w:szCs w:val="22"/>
        </w:rPr>
        <w:lastRenderedPageBreak/>
        <w:t xml:space="preserve">Payments </w:t>
      </w:r>
      <w:r w:rsidR="003A31CB">
        <w:rPr>
          <w:rFonts w:ascii="Times New Roman" w:hAnsi="Times New Roman"/>
          <w:sz w:val="22"/>
          <w:szCs w:val="22"/>
        </w:rPr>
        <w:t xml:space="preserve">will be done in three tranches, first pre-financing payment 20% of the total amount of the contract, second pre-financing 60% </w:t>
      </w:r>
      <w:r>
        <w:rPr>
          <w:rFonts w:ascii="Times New Roman" w:hAnsi="Times New Roman"/>
          <w:sz w:val="22"/>
          <w:szCs w:val="22"/>
        </w:rPr>
        <w:t xml:space="preserve">and one final payment </w:t>
      </w:r>
      <w:r w:rsidR="003A31CB">
        <w:rPr>
          <w:rFonts w:ascii="Times New Roman" w:hAnsi="Times New Roman"/>
          <w:sz w:val="22"/>
          <w:szCs w:val="22"/>
        </w:rPr>
        <w:t>20%</w:t>
      </w:r>
      <w:r>
        <w:rPr>
          <w:rFonts w:ascii="Times New Roman" w:hAnsi="Times New Roman"/>
          <w:sz w:val="22"/>
          <w:szCs w:val="22"/>
        </w:rPr>
        <w:t>.</w:t>
      </w:r>
    </w:p>
    <w:p w14:paraId="09CCCA2B" w14:textId="07FCF051" w:rsidR="0047783A" w:rsidRPr="003D6B6C" w:rsidRDefault="0047783A" w:rsidP="00CD522F">
      <w:pPr>
        <w:ind w:left="1134"/>
        <w:jc w:val="both"/>
        <w:rPr>
          <w:rFonts w:ascii="Times New Roman" w:hAnsi="Times New Roman"/>
          <w:sz w:val="22"/>
          <w:szCs w:val="22"/>
        </w:rPr>
      </w:pPr>
      <w:r w:rsidRPr="003D6B6C">
        <w:rPr>
          <w:rFonts w:ascii="Times New Roman" w:hAnsi="Times New Roman"/>
          <w:sz w:val="22"/>
          <w:szCs w:val="22"/>
        </w:rPr>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 xml:space="preserve">be authorised and made </w:t>
      </w:r>
      <w:r w:rsidRPr="003D257A">
        <w:rPr>
          <w:rFonts w:ascii="Times New Roman" w:hAnsi="Times New Roman"/>
          <w:sz w:val="22"/>
          <w:szCs w:val="22"/>
        </w:rPr>
        <w:t>by</w:t>
      </w:r>
      <w:r w:rsidR="00CD522F" w:rsidRPr="003D257A">
        <w:rPr>
          <w:rFonts w:ascii="Times New Roman" w:hAnsi="Times New Roman"/>
          <w:sz w:val="22"/>
          <w:szCs w:val="22"/>
        </w:rPr>
        <w:t xml:space="preserve"> Green Institute</w:t>
      </w:r>
      <w:r w:rsidR="003A31CB" w:rsidRPr="003D257A">
        <w:rPr>
          <w:rFonts w:ascii="Times New Roman" w:hAnsi="Times New Roman"/>
          <w:sz w:val="22"/>
          <w:szCs w:val="22"/>
        </w:rPr>
        <w:t xml:space="preserve"> Legal Representative</w:t>
      </w:r>
      <w:r w:rsidRPr="003D257A">
        <w:rPr>
          <w:rFonts w:ascii="Times New Roman" w:hAnsi="Times New Roman"/>
          <w:sz w:val="22"/>
          <w:szCs w:val="22"/>
        </w:rPr>
        <w:t>.</w:t>
      </w:r>
    </w:p>
    <w:p w14:paraId="15339C96" w14:textId="0D2F2763" w:rsidR="008733D3" w:rsidRPr="003D6B6C" w:rsidRDefault="006D5CEE" w:rsidP="00CD522F">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00CD522F" w:rsidRPr="00CD522F">
        <w:rPr>
          <w:rFonts w:ascii="Times New Roman" w:hAnsi="Times New Roman"/>
          <w:sz w:val="22"/>
          <w:szCs w:val="22"/>
        </w:rPr>
        <w:t>By derogation, the pre-financing payment shall be made within 60 days from the date on which an admissible invoice is registered by the contracting authority. The final payment to the contractor of the amounts due shall be made within 90 days following provisional acceptance of the goods, after receipt by the contracting authority of an admissible invoice.</w:t>
      </w:r>
    </w:p>
    <w:p w14:paraId="780AD638"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09C649BF" w14:textId="231CBD74" w:rsidR="00E87734" w:rsidRDefault="00035D61" w:rsidP="00CD522F">
      <w:pPr>
        <w:ind w:left="1560" w:hanging="426"/>
        <w:jc w:val="both"/>
        <w:rPr>
          <w:rFonts w:ascii="Times New Roman" w:hAnsi="Times New Roman"/>
          <w:bCs/>
          <w:sz w:val="22"/>
          <w:szCs w:val="22"/>
        </w:rPr>
      </w:pPr>
      <w:r w:rsidRPr="003D6B6C">
        <w:rPr>
          <w:rFonts w:ascii="Times New Roman" w:hAnsi="Times New Roman"/>
          <w:sz w:val="22"/>
          <w:szCs w:val="22"/>
        </w:rPr>
        <w:t>a)</w:t>
      </w:r>
      <w:r w:rsidRPr="003D6B6C">
        <w:rPr>
          <w:rFonts w:ascii="Times New Roman" w:hAnsi="Times New Roman"/>
          <w:b/>
          <w:sz w:val="22"/>
          <w:szCs w:val="22"/>
        </w:rPr>
        <w:tab/>
      </w:r>
      <w:r w:rsidR="003A31CB">
        <w:rPr>
          <w:rFonts w:ascii="Times New Roman" w:hAnsi="Times New Roman"/>
          <w:bCs/>
          <w:sz w:val="22"/>
          <w:szCs w:val="22"/>
        </w:rPr>
        <w:t>For the 2</w:t>
      </w:r>
      <w:r w:rsidR="006219A1" w:rsidRPr="00CD522F">
        <w:rPr>
          <w:rFonts w:ascii="Times New Roman" w:hAnsi="Times New Roman"/>
          <w:bCs/>
          <w:sz w:val="22"/>
          <w:szCs w:val="22"/>
        </w:rPr>
        <w:t>0% pre-financing</w:t>
      </w:r>
      <w:r w:rsidR="006219A1" w:rsidRPr="00CD522F">
        <w:rPr>
          <w:rFonts w:ascii="Times New Roman" w:hAnsi="Times New Roman"/>
          <w:sz w:val="22"/>
          <w:szCs w:val="22"/>
        </w:rPr>
        <w:t>,</w:t>
      </w:r>
      <w:r w:rsidR="006219A1" w:rsidRPr="00F017DE">
        <w:rPr>
          <w:rFonts w:ascii="Times New Roman" w:hAnsi="Times New Roman"/>
          <w:sz w:val="22"/>
          <w:szCs w:val="22"/>
        </w:rPr>
        <w:t xml:space="preserve"> </w:t>
      </w:r>
      <w:r w:rsidR="00F671B9" w:rsidRPr="00CD522F">
        <w:rPr>
          <w:rFonts w:ascii="Times New Roman" w:hAnsi="Times New Roman"/>
          <w:sz w:val="22"/>
          <w:szCs w:val="22"/>
        </w:rPr>
        <w:t>When</w:t>
      </w:r>
      <w:r w:rsidR="00E87734" w:rsidRPr="00CD522F">
        <w:rPr>
          <w:rFonts w:ascii="Times New Roman" w:hAnsi="Times New Roman"/>
          <w:bCs/>
          <w:sz w:val="22"/>
          <w:szCs w:val="22"/>
        </w:rPr>
        <w:t xml:space="preserve"> </w:t>
      </w:r>
      <w:r w:rsidR="00F75F46" w:rsidRPr="00CD522F">
        <w:rPr>
          <w:rFonts w:ascii="Times New Roman" w:hAnsi="Times New Roman"/>
          <w:bCs/>
          <w:sz w:val="22"/>
          <w:szCs w:val="22"/>
        </w:rPr>
        <w:t>(</w:t>
      </w:r>
      <w:proofErr w:type="spellStart"/>
      <w:r w:rsidR="00F75F46" w:rsidRPr="00CD522F">
        <w:rPr>
          <w:rFonts w:ascii="Times New Roman" w:hAnsi="Times New Roman"/>
          <w:bCs/>
          <w:sz w:val="22"/>
          <w:szCs w:val="22"/>
        </w:rPr>
        <w:t>i</w:t>
      </w:r>
      <w:proofErr w:type="spellEnd"/>
      <w:r w:rsidR="00F75F46" w:rsidRPr="00CD522F">
        <w:rPr>
          <w:rFonts w:ascii="Times New Roman" w:hAnsi="Times New Roman"/>
          <w:bCs/>
          <w:sz w:val="22"/>
          <w:szCs w:val="22"/>
        </w:rPr>
        <w:t xml:space="preserve">) </w:t>
      </w:r>
      <w:r w:rsidR="00E87734" w:rsidRPr="00CD522F">
        <w:rPr>
          <w:rFonts w:ascii="Times New Roman" w:hAnsi="Times New Roman"/>
          <w:bCs/>
          <w:sz w:val="22"/>
          <w:szCs w:val="22"/>
        </w:rPr>
        <w:t xml:space="preserve">the pre-financing requested is equal or below EUR 300 000 </w:t>
      </w:r>
      <w:r w:rsidR="00F75F46" w:rsidRPr="00CD522F">
        <w:rPr>
          <w:rFonts w:ascii="Times New Roman" w:hAnsi="Times New Roman"/>
          <w:bCs/>
          <w:sz w:val="22"/>
          <w:szCs w:val="22"/>
        </w:rPr>
        <w:t xml:space="preserve">and (ii) </w:t>
      </w:r>
      <w:r w:rsidR="00E87734" w:rsidRPr="00CD522F">
        <w:rPr>
          <w:rFonts w:ascii="Times New Roman" w:hAnsi="Times New Roman"/>
          <w:bCs/>
          <w:sz w:val="22"/>
          <w:szCs w:val="22"/>
        </w:rPr>
        <w:t xml:space="preserve">the </w:t>
      </w:r>
      <w:r w:rsidR="00F60098" w:rsidRPr="00CD522F">
        <w:rPr>
          <w:rFonts w:ascii="Times New Roman" w:hAnsi="Times New Roman"/>
          <w:bCs/>
          <w:sz w:val="22"/>
          <w:szCs w:val="22"/>
        </w:rPr>
        <w:t>c</w:t>
      </w:r>
      <w:r w:rsidR="00E87734" w:rsidRPr="00CD522F">
        <w:rPr>
          <w:rFonts w:ascii="Times New Roman" w:hAnsi="Times New Roman"/>
          <w:bCs/>
          <w:sz w:val="22"/>
          <w:szCs w:val="22"/>
        </w:rPr>
        <w:t xml:space="preserve">ontracting </w:t>
      </w:r>
      <w:r w:rsidR="00F60098" w:rsidRPr="00CD522F">
        <w:rPr>
          <w:rFonts w:ascii="Times New Roman" w:hAnsi="Times New Roman"/>
          <w:bCs/>
          <w:sz w:val="22"/>
          <w:szCs w:val="22"/>
        </w:rPr>
        <w:t>a</w:t>
      </w:r>
      <w:r w:rsidR="00E87734" w:rsidRPr="00CD522F">
        <w:rPr>
          <w:rFonts w:ascii="Times New Roman" w:hAnsi="Times New Roman"/>
          <w:bCs/>
          <w:sz w:val="22"/>
          <w:szCs w:val="22"/>
        </w:rPr>
        <w:t xml:space="preserve">uthority </w:t>
      </w:r>
      <w:r w:rsidR="00F75F46" w:rsidRPr="00CD522F">
        <w:rPr>
          <w:rFonts w:ascii="Times New Roman" w:hAnsi="Times New Roman"/>
          <w:bCs/>
          <w:sz w:val="22"/>
          <w:szCs w:val="22"/>
        </w:rPr>
        <w:t xml:space="preserve">does not </w:t>
      </w:r>
      <w:r w:rsidR="00E87734" w:rsidRPr="00CD522F">
        <w:rPr>
          <w:rFonts w:ascii="Times New Roman" w:hAnsi="Times New Roman"/>
          <w:bCs/>
          <w:sz w:val="22"/>
          <w:szCs w:val="22"/>
        </w:rPr>
        <w:t>require a financial guarantee following a risk assessment</w:t>
      </w:r>
      <w:r w:rsidR="00F0405C" w:rsidRPr="00CD522F">
        <w:rPr>
          <w:rStyle w:val="FootnoteReference"/>
          <w:rFonts w:ascii="Times New Roman" w:hAnsi="Times New Roman"/>
          <w:bCs/>
          <w:sz w:val="22"/>
          <w:szCs w:val="22"/>
        </w:rPr>
        <w:footnoteReference w:id="2"/>
      </w:r>
      <w:r w:rsidR="00695007" w:rsidRPr="00CD522F">
        <w:rPr>
          <w:rFonts w:ascii="Times New Roman" w:hAnsi="Times New Roman"/>
          <w:bCs/>
          <w:sz w:val="22"/>
          <w:szCs w:val="22"/>
        </w:rPr>
        <w:t>, b</w:t>
      </w:r>
      <w:r w:rsidR="00E87734" w:rsidRPr="00CD522F">
        <w:rPr>
          <w:rFonts w:ascii="Times New Roman" w:hAnsi="Times New Roman"/>
          <w:bCs/>
          <w:sz w:val="22"/>
          <w:szCs w:val="22"/>
        </w:rPr>
        <w:t xml:space="preserve">y derogation </w:t>
      </w:r>
      <w:r w:rsidR="001207A4" w:rsidRPr="00CD522F">
        <w:rPr>
          <w:rFonts w:ascii="Times New Roman" w:hAnsi="Times New Roman"/>
          <w:bCs/>
          <w:sz w:val="22"/>
          <w:szCs w:val="22"/>
        </w:rPr>
        <w:t>from</w:t>
      </w:r>
      <w:r w:rsidR="00E87734" w:rsidRPr="00CD522F">
        <w:rPr>
          <w:rFonts w:ascii="Times New Roman" w:hAnsi="Times New Roman"/>
          <w:bCs/>
          <w:sz w:val="22"/>
          <w:szCs w:val="22"/>
        </w:rPr>
        <w:t xml:space="preserve"> article </w:t>
      </w:r>
      <w:r w:rsidR="001207A4" w:rsidRPr="00CD522F">
        <w:rPr>
          <w:rFonts w:ascii="Times New Roman" w:hAnsi="Times New Roman"/>
          <w:sz w:val="22"/>
          <w:szCs w:val="22"/>
        </w:rPr>
        <w:t xml:space="preserve">26.5 of the </w:t>
      </w:r>
      <w:r w:rsidR="00F60098" w:rsidRPr="00CD522F">
        <w:rPr>
          <w:rFonts w:ascii="Times New Roman" w:hAnsi="Times New Roman"/>
          <w:sz w:val="22"/>
          <w:szCs w:val="22"/>
        </w:rPr>
        <w:t>g</w:t>
      </w:r>
      <w:r w:rsidR="001207A4" w:rsidRPr="00CD522F">
        <w:rPr>
          <w:rFonts w:ascii="Times New Roman" w:hAnsi="Times New Roman"/>
          <w:sz w:val="22"/>
          <w:szCs w:val="22"/>
        </w:rPr>
        <w:t xml:space="preserve">eneral </w:t>
      </w:r>
      <w:r w:rsidR="00F60098" w:rsidRPr="00CD522F">
        <w:rPr>
          <w:rFonts w:ascii="Times New Roman" w:hAnsi="Times New Roman"/>
          <w:sz w:val="22"/>
          <w:szCs w:val="22"/>
        </w:rPr>
        <w:t>c</w:t>
      </w:r>
      <w:r w:rsidR="001207A4" w:rsidRPr="00CD522F">
        <w:rPr>
          <w:rFonts w:ascii="Times New Roman" w:hAnsi="Times New Roman"/>
          <w:sz w:val="22"/>
          <w:szCs w:val="22"/>
        </w:rPr>
        <w:t xml:space="preserve">onditions </w:t>
      </w:r>
      <w:r w:rsidR="00E87734" w:rsidRPr="00CD522F">
        <w:rPr>
          <w:rFonts w:ascii="Times New Roman" w:hAnsi="Times New Roman"/>
          <w:bCs/>
          <w:sz w:val="22"/>
          <w:szCs w:val="22"/>
        </w:rPr>
        <w:t>no pre-financing guarantee is required</w:t>
      </w:r>
      <w:r w:rsidR="008214E2" w:rsidRPr="00CD522F">
        <w:rPr>
          <w:rFonts w:ascii="Times New Roman" w:hAnsi="Times New Roman"/>
          <w:bCs/>
          <w:sz w:val="22"/>
          <w:szCs w:val="22"/>
        </w:rPr>
        <w:t>.</w:t>
      </w:r>
    </w:p>
    <w:p w14:paraId="209CDC37" w14:textId="18C06CA3" w:rsidR="003A31CB" w:rsidRPr="003D6B6C" w:rsidRDefault="003A31CB" w:rsidP="00CD522F">
      <w:pPr>
        <w:ind w:left="1560" w:hanging="426"/>
        <w:jc w:val="both"/>
        <w:rPr>
          <w:rFonts w:ascii="Times New Roman" w:hAnsi="Times New Roman"/>
          <w:bCs/>
          <w:sz w:val="22"/>
          <w:szCs w:val="22"/>
        </w:rPr>
      </w:pPr>
      <w:r>
        <w:rPr>
          <w:rFonts w:ascii="Times New Roman" w:hAnsi="Times New Roman"/>
          <w:bCs/>
          <w:sz w:val="22"/>
          <w:szCs w:val="22"/>
        </w:rPr>
        <w:t xml:space="preserve">b)    </w:t>
      </w:r>
      <w:r w:rsidRPr="003A31CB">
        <w:rPr>
          <w:rFonts w:ascii="Times New Roman" w:hAnsi="Times New Roman"/>
          <w:bCs/>
          <w:sz w:val="22"/>
          <w:szCs w:val="22"/>
        </w:rPr>
        <w:t xml:space="preserve">60% after </w:t>
      </w:r>
      <w:r>
        <w:rPr>
          <w:rFonts w:ascii="Times New Roman" w:hAnsi="Times New Roman"/>
          <w:bCs/>
          <w:sz w:val="22"/>
          <w:szCs w:val="22"/>
        </w:rPr>
        <w:t>installation of PV panels at</w:t>
      </w:r>
      <w:r w:rsidRPr="003A31CB">
        <w:rPr>
          <w:rFonts w:ascii="Times New Roman" w:hAnsi="Times New Roman"/>
          <w:bCs/>
          <w:sz w:val="22"/>
          <w:szCs w:val="22"/>
        </w:rPr>
        <w:t xml:space="preserve"> the 4</w:t>
      </w:r>
      <w:r w:rsidR="00E001A9">
        <w:rPr>
          <w:rFonts w:ascii="Times New Roman" w:hAnsi="Times New Roman"/>
          <w:bCs/>
          <w:sz w:val="22"/>
          <w:szCs w:val="22"/>
        </w:rPr>
        <w:t>2</w:t>
      </w:r>
      <w:r w:rsidRPr="003A31CB">
        <w:rPr>
          <w:rFonts w:ascii="Times New Roman" w:hAnsi="Times New Roman"/>
          <w:bCs/>
          <w:sz w:val="22"/>
          <w:szCs w:val="22"/>
        </w:rPr>
        <w:t xml:space="preserve"> tourism businesses</w:t>
      </w:r>
      <w:r>
        <w:rPr>
          <w:rFonts w:ascii="Times New Roman" w:hAnsi="Times New Roman"/>
          <w:bCs/>
          <w:sz w:val="22"/>
          <w:szCs w:val="22"/>
        </w:rPr>
        <w:t>.</w:t>
      </w:r>
    </w:p>
    <w:p w14:paraId="1707D0AC" w14:textId="60E77CF8" w:rsidR="0047783A" w:rsidRPr="003D6B6C" w:rsidRDefault="003A31CB" w:rsidP="00035D61">
      <w:pPr>
        <w:spacing w:after="0"/>
        <w:ind w:left="1559" w:hanging="425"/>
        <w:jc w:val="both"/>
        <w:rPr>
          <w:rFonts w:ascii="Times New Roman" w:hAnsi="Times New Roman"/>
          <w:sz w:val="22"/>
          <w:szCs w:val="22"/>
        </w:rPr>
      </w:pPr>
      <w:r>
        <w:rPr>
          <w:rFonts w:ascii="Times New Roman" w:hAnsi="Times New Roman"/>
          <w:sz w:val="22"/>
          <w:szCs w:val="22"/>
        </w:rPr>
        <w:t>c</w:t>
      </w:r>
      <w:r w:rsidR="0047783A" w:rsidRPr="003D6B6C">
        <w:rPr>
          <w:rFonts w:ascii="Times New Roman" w:hAnsi="Times New Roman"/>
          <w:sz w:val="22"/>
          <w:szCs w:val="22"/>
        </w:rPr>
        <w:t>)</w:t>
      </w:r>
      <w:r w:rsidR="0047783A" w:rsidRPr="003D6B6C">
        <w:rPr>
          <w:rFonts w:ascii="Times New Roman" w:hAnsi="Times New Roman"/>
          <w:b/>
          <w:sz w:val="22"/>
          <w:szCs w:val="22"/>
        </w:rPr>
        <w:tab/>
      </w:r>
      <w:r w:rsidR="00CD522F" w:rsidRPr="00CD522F">
        <w:rPr>
          <w:rFonts w:ascii="Times New Roman" w:hAnsi="Times New Roman"/>
          <w:bCs/>
          <w:sz w:val="22"/>
          <w:szCs w:val="22"/>
        </w:rPr>
        <w:t>2</w:t>
      </w:r>
      <w:r w:rsidR="0047783A" w:rsidRPr="00CD522F">
        <w:rPr>
          <w:rFonts w:ascii="Times New Roman" w:hAnsi="Times New Roman"/>
          <w:bCs/>
          <w:sz w:val="22"/>
          <w:szCs w:val="22"/>
        </w:rPr>
        <w:t>0</w:t>
      </w:r>
      <w:r w:rsidR="006A5F84" w:rsidRPr="00CD522F">
        <w:rPr>
          <w:rFonts w:ascii="Times New Roman" w:hAnsi="Times New Roman"/>
          <w:bCs/>
          <w:sz w:val="22"/>
          <w:szCs w:val="22"/>
        </w:rPr>
        <w:t> </w:t>
      </w:r>
      <w:r w:rsidR="0047783A" w:rsidRPr="00CD522F">
        <w:rPr>
          <w:rFonts w:ascii="Times New Roman" w:hAnsi="Times New Roman"/>
          <w:bCs/>
          <w:sz w:val="22"/>
          <w:szCs w:val="22"/>
        </w:rPr>
        <w:t>% balance</w:t>
      </w:r>
      <w:r w:rsidR="0047783A" w:rsidRPr="00C70E2C">
        <w:rPr>
          <w:rFonts w:ascii="Times New Roman" w:hAnsi="Times New Roman"/>
          <w:sz w:val="22"/>
          <w:szCs w:val="22"/>
        </w:rPr>
        <w:t>,</w:t>
      </w:r>
      <w:r w:rsidR="00512BE8" w:rsidRPr="00512BE8">
        <w:rPr>
          <w:rFonts w:ascii="Times New Roman" w:hAnsi="Times New Roman"/>
          <w:b/>
          <w:sz w:val="22"/>
          <w:szCs w:val="22"/>
        </w:rPr>
        <w:t xml:space="preserve"> </w:t>
      </w:r>
      <w:r w:rsidR="0047783A" w:rsidRPr="003D6B6C">
        <w:rPr>
          <w:rFonts w:ascii="Times New Roman" w:hAnsi="Times New Roman"/>
          <w:sz w:val="22"/>
          <w:szCs w:val="22"/>
        </w:rPr>
        <w:t xml:space="preserve">the invoice(s) </w:t>
      </w:r>
      <w:r w:rsidR="00925DBE" w:rsidRPr="003D6B6C">
        <w:rPr>
          <w:rFonts w:ascii="Times New Roman" w:hAnsi="Times New Roman"/>
          <w:sz w:val="22"/>
          <w:szCs w:val="22"/>
        </w:rPr>
        <w:t xml:space="preserve">together with the request for </w:t>
      </w:r>
      <w:r w:rsidR="0047783A" w:rsidRPr="003D6B6C">
        <w:rPr>
          <w:rFonts w:ascii="Times New Roman" w:hAnsi="Times New Roman"/>
          <w:sz w:val="22"/>
          <w:szCs w:val="22"/>
        </w:rPr>
        <w:t>provisi</w:t>
      </w:r>
      <w:r>
        <w:rPr>
          <w:rFonts w:ascii="Times New Roman" w:hAnsi="Times New Roman"/>
          <w:sz w:val="22"/>
          <w:szCs w:val="22"/>
        </w:rPr>
        <w:t xml:space="preserve">onal acceptance of the supplies and </w:t>
      </w:r>
      <w:r w:rsidRPr="003A31CB">
        <w:rPr>
          <w:rFonts w:ascii="Times New Roman" w:hAnsi="Times New Roman"/>
          <w:sz w:val="22"/>
          <w:szCs w:val="22"/>
        </w:rPr>
        <w:t>after technical test by independent expert which will occur after the commissioning of the PV panels</w:t>
      </w:r>
      <w:r>
        <w:rPr>
          <w:rFonts w:ascii="Times New Roman" w:hAnsi="Times New Roman"/>
          <w:sz w:val="22"/>
          <w:szCs w:val="22"/>
        </w:rPr>
        <w:t>.</w:t>
      </w:r>
    </w:p>
    <w:p w14:paraId="21DD1760" w14:textId="2B8A677F"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9440BA">
        <w:rPr>
          <w:rFonts w:ascii="Times New Roman" w:hAnsi="Times New Roman"/>
          <w:color w:val="000000"/>
          <w:sz w:val="22"/>
          <w:szCs w:val="22"/>
        </w:rPr>
        <w:t>T</w:t>
      </w:r>
      <w:r w:rsidR="009440BA" w:rsidRPr="009440BA">
        <w:rPr>
          <w:rFonts w:ascii="Times New Roman" w:hAnsi="Times New Roman"/>
          <w:color w:val="000000"/>
          <w:sz w:val="22"/>
          <w:szCs w:val="22"/>
        </w:rPr>
        <w:t>he</w:t>
      </w:r>
      <w:r w:rsidRPr="009440BA">
        <w:rPr>
          <w:rFonts w:ascii="Times New Roman" w:hAnsi="Times New Roman"/>
          <w:color w:val="000000"/>
          <w:sz w:val="22"/>
          <w:szCs w:val="22"/>
        </w:rPr>
        <w:t xml:space="preserve"> </w:t>
      </w:r>
      <w:r w:rsidR="00F60098" w:rsidRPr="009440BA">
        <w:rPr>
          <w:rFonts w:ascii="Times New Roman" w:hAnsi="Times New Roman"/>
          <w:color w:val="000000"/>
          <w:sz w:val="22"/>
          <w:szCs w:val="22"/>
        </w:rPr>
        <w:t>c</w:t>
      </w:r>
      <w:r w:rsidR="0097513D" w:rsidRPr="009440BA">
        <w:rPr>
          <w:rFonts w:ascii="Times New Roman" w:hAnsi="Times New Roman"/>
          <w:color w:val="000000"/>
          <w:sz w:val="22"/>
          <w:szCs w:val="22"/>
        </w:rPr>
        <w:t>ontract</w:t>
      </w:r>
      <w:r w:rsidRPr="009440BA">
        <w:rPr>
          <w:rFonts w:ascii="Times New Roman" w:hAnsi="Times New Roman"/>
          <w:color w:val="000000"/>
          <w:sz w:val="22"/>
          <w:szCs w:val="22"/>
        </w:rPr>
        <w:t xml:space="preserve"> </w:t>
      </w:r>
      <w:r w:rsidR="009440BA" w:rsidRPr="009440BA">
        <w:rPr>
          <w:rFonts w:ascii="Times New Roman" w:hAnsi="Times New Roman"/>
          <w:color w:val="000000"/>
          <w:sz w:val="22"/>
          <w:szCs w:val="22"/>
        </w:rPr>
        <w:t>doesn’t include</w:t>
      </w:r>
      <w:r w:rsidRPr="009440BA">
        <w:rPr>
          <w:rFonts w:ascii="Times New Roman" w:hAnsi="Times New Roman"/>
          <w:color w:val="000000"/>
          <w:sz w:val="22"/>
          <w:szCs w:val="22"/>
        </w:rPr>
        <w:t xml:space="preserve"> a price revision clause.</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38104A4D" w:rsidR="0047783A" w:rsidRPr="003D6B6C" w:rsidRDefault="0047783A" w:rsidP="009440BA">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9440BA" w:rsidRPr="009440BA">
        <w:rPr>
          <w:rFonts w:ascii="Times New Roman" w:hAnsi="Times New Roman"/>
          <w:snapToGrid/>
          <w:sz w:val="22"/>
          <w:szCs w:val="22"/>
          <w:lang w:eastAsia="en-GB"/>
        </w:rPr>
        <w:t>By derogation from Article 28.2 of the general conditions, o</w:t>
      </w:r>
      <w:r w:rsidR="009440BA" w:rsidRPr="009440BA">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r w:rsidR="009440BA" w:rsidRPr="009440BA">
        <w:rPr>
          <w:rFonts w:ascii="Times New Roman" w:hAnsi="Times New Roman"/>
          <w:snapToGrid/>
          <w:sz w:val="22"/>
          <w:szCs w:val="22"/>
          <w:lang w:eastAsia="en-GB"/>
        </w:rPr>
        <w: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8"/>
    </w:p>
    <w:p w14:paraId="37672206" w14:textId="29B884CE" w:rsidR="0047783A" w:rsidRPr="003D6B6C" w:rsidRDefault="0047783A" w:rsidP="009440BA">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009440BA" w:rsidRPr="009440BA">
        <w:rPr>
          <w:rFonts w:ascii="Times New Roman" w:hAnsi="Times New Roman"/>
          <w:sz w:val="22"/>
          <w:szCs w:val="22"/>
        </w:rPr>
        <w:t>The packaging shall remain the property of the contractor subject to environmental considerations</w:t>
      </w:r>
      <w:r w:rsidRPr="003D6B6C">
        <w:rPr>
          <w:rFonts w:ascii="Times New Roman" w:hAnsi="Times New Roman"/>
          <w:sz w:val="22"/>
          <w:szCs w:val="22"/>
        </w:rPr>
        <w:t>.</w:t>
      </w:r>
    </w:p>
    <w:p w14:paraId="0A911D52" w14:textId="7BEF6311" w:rsidR="0047783A" w:rsidRPr="003D6B6C" w:rsidRDefault="0047783A" w:rsidP="006B145B">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009440BA">
        <w:rPr>
          <w:rFonts w:ascii="Times New Roman" w:hAnsi="Times New Roman"/>
          <w:sz w:val="22"/>
          <w:szCs w:val="22"/>
        </w:rPr>
        <w:tab/>
      </w:r>
      <w:r w:rsidR="009440BA" w:rsidRPr="002A5745">
        <w:rPr>
          <w:rFonts w:ascii="Times New Roman" w:hAnsi="Times New Roman"/>
          <w:sz w:val="22"/>
          <w:szCs w:val="22"/>
        </w:rPr>
        <w:t>CE certificate should accompany each delivery and markings on the packaging</w:t>
      </w:r>
      <w:r w:rsidR="009440BA">
        <w:rPr>
          <w:rFonts w:ascii="Times New Roman" w:hAnsi="Times New Roman"/>
          <w:sz w:val="22"/>
          <w:szCs w:val="22"/>
        </w:rPr>
        <w:t>.</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9"/>
    </w:p>
    <w:p w14:paraId="26936EB2" w14:textId="25FC344F" w:rsidR="00724C93" w:rsidRPr="003D6B6C" w:rsidRDefault="0047783A" w:rsidP="009440BA">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010A73E4" w14:textId="77777777" w:rsidR="00E219CD" w:rsidRPr="009440BA" w:rsidRDefault="0011156A" w:rsidP="00E219CD">
      <w:pPr>
        <w:ind w:left="1134" w:hanging="708"/>
        <w:jc w:val="both"/>
        <w:rPr>
          <w:rFonts w:ascii="Times New Roman" w:hAnsi="Times New Roman"/>
          <w:sz w:val="22"/>
          <w:szCs w:val="22"/>
        </w:rPr>
      </w:pPr>
      <w:r>
        <w:rPr>
          <w:rFonts w:ascii="Times New Roman" w:hAnsi="Times New Roman"/>
          <w:sz w:val="22"/>
          <w:szCs w:val="22"/>
        </w:rPr>
        <w:t>31.2.</w:t>
      </w:r>
      <w:r>
        <w:rPr>
          <w:rFonts w:ascii="Times New Roman" w:hAnsi="Times New Roman"/>
          <w:sz w:val="22"/>
          <w:szCs w:val="22"/>
        </w:rPr>
        <w:tab/>
      </w:r>
      <w:r w:rsidR="00724C93" w:rsidRPr="009440BA">
        <w:rPr>
          <w:rFonts w:ascii="Times New Roman" w:hAnsi="Times New Roman"/>
          <w:sz w:val="22"/>
          <w:szCs w:val="22"/>
        </w:rPr>
        <w:t xml:space="preserve">By derogation, the </w:t>
      </w:r>
      <w:r w:rsidR="00F60098" w:rsidRPr="009440BA">
        <w:rPr>
          <w:rFonts w:ascii="Times New Roman" w:hAnsi="Times New Roman"/>
          <w:sz w:val="22"/>
          <w:szCs w:val="22"/>
        </w:rPr>
        <w:t>c</w:t>
      </w:r>
      <w:r w:rsidR="00E219CD" w:rsidRPr="009440BA">
        <w:rPr>
          <w:rFonts w:ascii="Times New Roman" w:hAnsi="Times New Roman"/>
          <w:sz w:val="22"/>
          <w:szCs w:val="22"/>
        </w:rPr>
        <w:t xml:space="preserve">ontractor may apply, by notice to the </w:t>
      </w:r>
      <w:r w:rsidR="00F60098" w:rsidRPr="009440BA">
        <w:rPr>
          <w:rFonts w:ascii="Times New Roman" w:hAnsi="Times New Roman"/>
          <w:sz w:val="22"/>
          <w:szCs w:val="22"/>
        </w:rPr>
        <w:t>p</w:t>
      </w:r>
      <w:r w:rsidR="00E219CD" w:rsidRPr="009440BA">
        <w:rPr>
          <w:rFonts w:ascii="Times New Roman" w:hAnsi="Times New Roman"/>
          <w:sz w:val="22"/>
          <w:szCs w:val="22"/>
        </w:rPr>
        <w:t xml:space="preserve">roject </w:t>
      </w:r>
      <w:r w:rsidR="00F60098" w:rsidRPr="009440BA">
        <w:rPr>
          <w:rFonts w:ascii="Times New Roman" w:hAnsi="Times New Roman"/>
          <w:sz w:val="22"/>
          <w:szCs w:val="22"/>
        </w:rPr>
        <w:t>m</w:t>
      </w:r>
      <w:r w:rsidR="00E219CD" w:rsidRPr="009440BA">
        <w:rPr>
          <w:rFonts w:ascii="Times New Roman" w:hAnsi="Times New Roman"/>
          <w:sz w:val="22"/>
          <w:szCs w:val="22"/>
        </w:rPr>
        <w:t xml:space="preserve">anager, for a certificate of provisional acceptance when supplies are ready for provisional acceptance. The </w:t>
      </w:r>
      <w:r w:rsidR="00F60098" w:rsidRPr="009440BA">
        <w:rPr>
          <w:rFonts w:ascii="Times New Roman" w:hAnsi="Times New Roman"/>
          <w:sz w:val="22"/>
          <w:szCs w:val="22"/>
        </w:rPr>
        <w:t>p</w:t>
      </w:r>
      <w:r w:rsidR="00E219CD" w:rsidRPr="009440BA">
        <w:rPr>
          <w:rFonts w:ascii="Times New Roman" w:hAnsi="Times New Roman"/>
          <w:sz w:val="22"/>
          <w:szCs w:val="22"/>
        </w:rPr>
        <w:t xml:space="preserve">roject </w:t>
      </w:r>
      <w:r w:rsidR="00F60098" w:rsidRPr="009440BA">
        <w:rPr>
          <w:rFonts w:ascii="Times New Roman" w:hAnsi="Times New Roman"/>
          <w:sz w:val="22"/>
          <w:szCs w:val="22"/>
        </w:rPr>
        <w:t>m</w:t>
      </w:r>
      <w:r w:rsidR="00E219CD" w:rsidRPr="009440BA">
        <w:rPr>
          <w:rFonts w:ascii="Times New Roman" w:hAnsi="Times New Roman"/>
          <w:sz w:val="22"/>
          <w:szCs w:val="22"/>
        </w:rPr>
        <w:t xml:space="preserve">anager shall within 45 days of receipt of the </w:t>
      </w:r>
      <w:r w:rsidR="00F60098" w:rsidRPr="009440BA">
        <w:rPr>
          <w:rFonts w:ascii="Times New Roman" w:hAnsi="Times New Roman"/>
          <w:sz w:val="22"/>
          <w:szCs w:val="22"/>
        </w:rPr>
        <w:t>c</w:t>
      </w:r>
      <w:r w:rsidR="00E219CD" w:rsidRPr="009440BA">
        <w:rPr>
          <w:rFonts w:ascii="Times New Roman" w:hAnsi="Times New Roman"/>
          <w:sz w:val="22"/>
          <w:szCs w:val="22"/>
        </w:rPr>
        <w:t>ontractor's application either:</w:t>
      </w:r>
    </w:p>
    <w:p w14:paraId="090CA169" w14:textId="77777777" w:rsidR="00E219CD" w:rsidRPr="009440BA" w:rsidRDefault="00E219CD" w:rsidP="00E219CD">
      <w:pPr>
        <w:widowControl w:val="0"/>
        <w:numPr>
          <w:ilvl w:val="0"/>
          <w:numId w:val="19"/>
        </w:numPr>
        <w:tabs>
          <w:tab w:val="left" w:pos="1560"/>
        </w:tabs>
        <w:spacing w:before="0" w:after="0"/>
        <w:ind w:left="1560"/>
        <w:jc w:val="both"/>
        <w:rPr>
          <w:rFonts w:ascii="Times New Roman" w:hAnsi="Times New Roman"/>
          <w:sz w:val="22"/>
          <w:szCs w:val="22"/>
        </w:rPr>
      </w:pPr>
      <w:r w:rsidRPr="009440BA">
        <w:rPr>
          <w:rFonts w:ascii="Times New Roman" w:hAnsi="Times New Roman"/>
          <w:sz w:val="22"/>
          <w:szCs w:val="22"/>
        </w:rPr>
        <w:t xml:space="preserve">issue the certificate of provisional acceptance to the </w:t>
      </w:r>
      <w:r w:rsidR="00F60098" w:rsidRPr="009440BA">
        <w:rPr>
          <w:rFonts w:ascii="Times New Roman" w:hAnsi="Times New Roman"/>
          <w:sz w:val="22"/>
          <w:szCs w:val="22"/>
        </w:rPr>
        <w:t>c</w:t>
      </w:r>
      <w:r w:rsidRPr="009440BA">
        <w:rPr>
          <w:rFonts w:ascii="Times New Roman" w:hAnsi="Times New Roman"/>
          <w:sz w:val="22"/>
          <w:szCs w:val="22"/>
        </w:rPr>
        <w:t xml:space="preserve">ontractor with a copy </w:t>
      </w:r>
      <w:r w:rsidRPr="009440BA">
        <w:rPr>
          <w:rFonts w:ascii="Times New Roman" w:hAnsi="Times New Roman"/>
          <w:sz w:val="22"/>
          <w:szCs w:val="22"/>
        </w:rPr>
        <w:lastRenderedPageBreak/>
        <w:t xml:space="preserve">to the </w:t>
      </w:r>
      <w:r w:rsidR="00F60098" w:rsidRPr="009440BA">
        <w:rPr>
          <w:rFonts w:ascii="Times New Roman" w:hAnsi="Times New Roman"/>
          <w:sz w:val="22"/>
          <w:szCs w:val="22"/>
        </w:rPr>
        <w:t>c</w:t>
      </w:r>
      <w:r w:rsidRPr="009440BA">
        <w:rPr>
          <w:rFonts w:ascii="Times New Roman" w:hAnsi="Times New Roman"/>
          <w:sz w:val="22"/>
          <w:szCs w:val="22"/>
        </w:rPr>
        <w:t xml:space="preserve">ontracting </w:t>
      </w:r>
      <w:r w:rsidR="00F60098" w:rsidRPr="009440BA">
        <w:rPr>
          <w:rFonts w:ascii="Times New Roman" w:hAnsi="Times New Roman"/>
          <w:sz w:val="22"/>
          <w:szCs w:val="22"/>
        </w:rPr>
        <w:t>a</w:t>
      </w:r>
      <w:r w:rsidRPr="009440BA">
        <w:rPr>
          <w:rFonts w:ascii="Times New Roman" w:hAnsi="Times New Roman"/>
          <w:sz w:val="22"/>
          <w:szCs w:val="22"/>
        </w:rPr>
        <w:t>uthority stating, where appropriate, his reservations, and, inter alia, the date on which, in his opinion, the supplies were completed in accordance with the contract and ready for provisional acceptance; or</w:t>
      </w:r>
    </w:p>
    <w:p w14:paraId="4498F9BC" w14:textId="77777777" w:rsidR="00E219CD" w:rsidRPr="009440BA" w:rsidRDefault="00E219CD" w:rsidP="00E219CD">
      <w:pPr>
        <w:widowControl w:val="0"/>
        <w:numPr>
          <w:ilvl w:val="0"/>
          <w:numId w:val="19"/>
        </w:numPr>
        <w:tabs>
          <w:tab w:val="left" w:pos="1560"/>
        </w:tabs>
        <w:ind w:left="1560"/>
        <w:jc w:val="both"/>
        <w:rPr>
          <w:rFonts w:ascii="Times New Roman" w:hAnsi="Times New Roman"/>
          <w:sz w:val="22"/>
          <w:szCs w:val="22"/>
        </w:rPr>
      </w:pPr>
      <w:r w:rsidRPr="009440BA">
        <w:rPr>
          <w:rFonts w:ascii="Times New Roman" w:hAnsi="Times New Roman"/>
          <w:sz w:val="22"/>
          <w:szCs w:val="22"/>
        </w:rPr>
        <w:t xml:space="preserve">reject the application, giving his reasons and specifying the action which, in his opinion, is required of the </w:t>
      </w:r>
      <w:r w:rsidR="00F60098" w:rsidRPr="009440BA">
        <w:rPr>
          <w:rFonts w:ascii="Times New Roman" w:hAnsi="Times New Roman"/>
          <w:sz w:val="22"/>
          <w:szCs w:val="22"/>
        </w:rPr>
        <w:t>c</w:t>
      </w:r>
      <w:r w:rsidRPr="009440BA">
        <w:rPr>
          <w:rFonts w:ascii="Times New Roman" w:hAnsi="Times New Roman"/>
          <w:sz w:val="22"/>
          <w:szCs w:val="22"/>
        </w:rPr>
        <w:t>ontractor for the certificate to be issued.</w:t>
      </w:r>
    </w:p>
    <w:p w14:paraId="0177D459" w14:textId="2AACA46F" w:rsidR="00554164" w:rsidRPr="003D6B6C" w:rsidRDefault="00240B1F" w:rsidP="009440BA">
      <w:pPr>
        <w:widowControl w:val="0"/>
        <w:tabs>
          <w:tab w:val="left" w:pos="1560"/>
        </w:tabs>
        <w:ind w:left="1200"/>
        <w:jc w:val="both"/>
        <w:rPr>
          <w:rFonts w:ascii="Times New Roman" w:hAnsi="Times New Roman"/>
          <w:sz w:val="22"/>
          <w:szCs w:val="22"/>
        </w:rPr>
      </w:pPr>
      <w:r w:rsidRPr="009440BA">
        <w:rPr>
          <w:rFonts w:ascii="Times New Roman" w:hAnsi="Times New Roman"/>
          <w:sz w:val="22"/>
          <w:szCs w:val="22"/>
        </w:rPr>
        <w:t xml:space="preserve">The </w:t>
      </w:r>
      <w:r w:rsidR="00F60098" w:rsidRPr="009440BA">
        <w:rPr>
          <w:rFonts w:ascii="Times New Roman" w:hAnsi="Times New Roman"/>
          <w:sz w:val="22"/>
          <w:szCs w:val="22"/>
        </w:rPr>
        <w:t>c</w:t>
      </w:r>
      <w:r w:rsidRPr="009440BA">
        <w:rPr>
          <w:rFonts w:ascii="Times New Roman" w:hAnsi="Times New Roman"/>
          <w:sz w:val="22"/>
          <w:szCs w:val="22"/>
        </w:rPr>
        <w:t xml:space="preserve">ontracting </w:t>
      </w:r>
      <w:r w:rsidR="00F60098" w:rsidRPr="009440BA">
        <w:rPr>
          <w:rFonts w:ascii="Times New Roman" w:hAnsi="Times New Roman"/>
          <w:sz w:val="22"/>
          <w:szCs w:val="22"/>
        </w:rPr>
        <w:t>a</w:t>
      </w:r>
      <w:r w:rsidRPr="009440BA">
        <w:rPr>
          <w:rFonts w:ascii="Times New Roman" w:hAnsi="Times New Roman"/>
          <w:sz w:val="22"/>
          <w:szCs w:val="22"/>
        </w:rPr>
        <w:t xml:space="preserve">uthority’s time limit for issuing the certificate of provisional acceptance to the </w:t>
      </w:r>
      <w:r w:rsidR="00F60098" w:rsidRPr="009440BA">
        <w:rPr>
          <w:rFonts w:ascii="Times New Roman" w:hAnsi="Times New Roman"/>
          <w:sz w:val="22"/>
          <w:szCs w:val="22"/>
        </w:rPr>
        <w:t>c</w:t>
      </w:r>
      <w:r w:rsidRPr="009440BA">
        <w:rPr>
          <w:rFonts w:ascii="Times New Roman" w:hAnsi="Times New Roman"/>
          <w:sz w:val="22"/>
          <w:szCs w:val="22"/>
        </w:rPr>
        <w:t>ontractor shall not be considered included in the time limit for payments indicated in Article 26.3.</w:t>
      </w:r>
      <w:r w:rsidR="009440BA">
        <w:rPr>
          <w:rFonts w:ascii="Times New Roman" w:hAnsi="Times New Roman"/>
          <w:sz w:val="22"/>
          <w:szCs w:val="22"/>
        </w:rPr>
        <w:t xml:space="preserve"> </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20"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0"/>
      <w:r w:rsidR="00177A94" w:rsidRPr="003D6B6C">
        <w:rPr>
          <w:rFonts w:ascii="Times New Roman" w:hAnsi="Times New Roman"/>
          <w:b/>
          <w:sz w:val="24"/>
          <w:szCs w:val="24"/>
        </w:rPr>
        <w:t xml:space="preserve"> obligations</w:t>
      </w:r>
    </w:p>
    <w:p w14:paraId="18C4D014" w14:textId="1FEF3ADA"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9440BA">
        <w:rPr>
          <w:rFonts w:ascii="Times New Roman" w:hAnsi="Times New Roman"/>
          <w:sz w:val="22"/>
          <w:szCs w:val="22"/>
        </w:rPr>
        <w:t>Warranty shall apply to PV panels, s</w:t>
      </w:r>
      <w:r w:rsidR="00341A54">
        <w:rPr>
          <w:rFonts w:ascii="Times New Roman" w:hAnsi="Times New Roman"/>
          <w:sz w:val="22"/>
          <w:szCs w:val="22"/>
        </w:rPr>
        <w:t>pare-parts and installation wor</w:t>
      </w:r>
      <w:r w:rsidR="009440BA">
        <w:rPr>
          <w:rFonts w:ascii="Times New Roman" w:hAnsi="Times New Roman"/>
          <w:sz w:val="22"/>
          <w:szCs w:val="22"/>
        </w:rPr>
        <w:t>ks.</w:t>
      </w:r>
    </w:p>
    <w:p w14:paraId="516F443D" w14:textId="65153DBA"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sidR="009440BA">
        <w:rPr>
          <w:rFonts w:ascii="Times New Roman" w:hAnsi="Times New Roman"/>
          <w:sz w:val="22"/>
          <w:szCs w:val="22"/>
        </w:rPr>
        <w:t>minimum 5 years</w:t>
      </w:r>
      <w:r w:rsidRPr="003D6B6C">
        <w:rPr>
          <w:rFonts w:ascii="Times New Roman" w:hAnsi="Times New Roman"/>
          <w:sz w:val="22"/>
          <w:szCs w:val="22"/>
        </w:rPr>
        <w:t xml:space="preserve"> after provisional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1" w:name="_Toc119839451"/>
      <w:bookmarkStart w:id="22"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1"/>
      <w:bookmarkEnd w:id="22"/>
    </w:p>
    <w:p w14:paraId="09B87FDF" w14:textId="5B831284"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9440BA">
        <w:rPr>
          <w:rFonts w:ascii="Times New Roman" w:hAnsi="Times New Roman"/>
          <w:sz w:val="22"/>
          <w:szCs w:val="22"/>
        </w:rPr>
        <w:t>C</w:t>
      </w:r>
      <w:r w:rsidR="009440BA" w:rsidRPr="009440BA">
        <w:rPr>
          <w:rFonts w:ascii="Times New Roman" w:hAnsi="Times New Roman"/>
          <w:sz w:val="22"/>
          <w:szCs w:val="22"/>
        </w:rPr>
        <w:t>ontractor provide after-sales service warranty</w:t>
      </w:r>
      <w:r w:rsidR="009440BA">
        <w:rPr>
          <w:rFonts w:ascii="Times New Roman" w:hAnsi="Times New Roman"/>
          <w:sz w:val="22"/>
          <w:szCs w:val="22"/>
        </w:rPr>
        <w:t xml:space="preserve"> and remote assistance through Customer service.</w:t>
      </w:r>
    </w:p>
    <w:p w14:paraId="6B551131" w14:textId="575452EA" w:rsidR="0047783A" w:rsidRPr="009440BA" w:rsidRDefault="0047783A" w:rsidP="009440BA">
      <w:pPr>
        <w:spacing w:before="240"/>
        <w:ind w:left="1134" w:hanging="1134"/>
        <w:jc w:val="both"/>
        <w:rPr>
          <w:rFonts w:ascii="Times New Roman" w:hAnsi="Times New Roman"/>
          <w:b/>
          <w:sz w:val="24"/>
          <w:szCs w:val="24"/>
        </w:rPr>
      </w:pPr>
      <w:bookmarkStart w:id="23"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3"/>
    </w:p>
    <w:p w14:paraId="32FDF6D7" w14:textId="324B5C85" w:rsidR="00407C90" w:rsidRPr="009440BA" w:rsidRDefault="0047783A" w:rsidP="009440BA">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009440BA">
        <w:rPr>
          <w:rFonts w:ascii="Times New Roman" w:hAnsi="Times New Roman"/>
          <w:sz w:val="22"/>
          <w:szCs w:val="22"/>
        </w:rPr>
        <w:tab/>
      </w:r>
      <w:r w:rsidRPr="009440BA">
        <w:rPr>
          <w:rFonts w:ascii="Times New Roman" w:hAnsi="Times New Roman"/>
          <w:sz w:val="22"/>
          <w:szCs w:val="22"/>
        </w:rPr>
        <w:t xml:space="preserve">Any disputes arising out of or relating to this </w:t>
      </w:r>
      <w:r w:rsidR="00F60098" w:rsidRPr="009440BA">
        <w:rPr>
          <w:rFonts w:ascii="Times New Roman" w:hAnsi="Times New Roman"/>
          <w:sz w:val="22"/>
          <w:szCs w:val="22"/>
        </w:rPr>
        <w:t>c</w:t>
      </w:r>
      <w:r w:rsidR="0097513D" w:rsidRPr="009440BA">
        <w:rPr>
          <w:rFonts w:ascii="Times New Roman" w:hAnsi="Times New Roman"/>
          <w:sz w:val="22"/>
          <w:szCs w:val="22"/>
        </w:rPr>
        <w:t>ontract</w:t>
      </w:r>
      <w:r w:rsidRPr="009440BA">
        <w:rPr>
          <w:rFonts w:ascii="Times New Roman" w:hAnsi="Times New Roman"/>
          <w:sz w:val="22"/>
          <w:szCs w:val="22"/>
        </w:rPr>
        <w:t xml:space="preserve"> which cannot be settled amicably </w:t>
      </w:r>
      <w:r w:rsidR="00551543" w:rsidRPr="009440BA">
        <w:rPr>
          <w:rFonts w:ascii="Times New Roman" w:hAnsi="Times New Roman"/>
          <w:sz w:val="22"/>
          <w:szCs w:val="22"/>
        </w:rPr>
        <w:t>sha</w:t>
      </w:r>
      <w:r w:rsidR="003D2078" w:rsidRPr="009440BA">
        <w:rPr>
          <w:rFonts w:ascii="Times New Roman" w:hAnsi="Times New Roman"/>
          <w:sz w:val="22"/>
          <w:szCs w:val="22"/>
        </w:rPr>
        <w:t>ll</w:t>
      </w:r>
      <w:r w:rsidRPr="009440BA">
        <w:rPr>
          <w:rFonts w:ascii="Times New Roman" w:hAnsi="Times New Roman"/>
          <w:sz w:val="22"/>
          <w:szCs w:val="22"/>
        </w:rPr>
        <w:t xml:space="preserve"> be referred to the exclusive jurisdiction of</w:t>
      </w:r>
      <w:r w:rsidRPr="009440BA">
        <w:rPr>
          <w:rFonts w:ascii="Times New Roman" w:hAnsi="Times New Roman"/>
          <w:i/>
          <w:sz w:val="22"/>
          <w:szCs w:val="22"/>
        </w:rPr>
        <w:t xml:space="preserve"> </w:t>
      </w:r>
      <w:r w:rsidRPr="009440BA">
        <w:rPr>
          <w:rFonts w:ascii="Times New Roman" w:hAnsi="Times New Roman"/>
          <w:sz w:val="22"/>
          <w:szCs w:val="22"/>
        </w:rPr>
        <w:t>the courts of Brussels, Belgium</w:t>
      </w:r>
      <w:r w:rsidR="009440BA" w:rsidRPr="009440BA">
        <w:rPr>
          <w:rFonts w:ascii="Times New Roman" w:hAnsi="Times New Roman"/>
          <w:sz w:val="22"/>
          <w:szCs w:val="22"/>
        </w:rPr>
        <w:t>.</w:t>
      </w:r>
    </w:p>
    <w:p w14:paraId="391B16A0" w14:textId="17C873F2" w:rsidR="009F7E6A" w:rsidRPr="009440BA" w:rsidRDefault="00407C90" w:rsidP="009440BA">
      <w:pPr>
        <w:keepNext/>
        <w:keepLines/>
        <w:tabs>
          <w:tab w:val="left" w:pos="1134"/>
        </w:tabs>
        <w:spacing w:before="240"/>
        <w:ind w:left="1134" w:hanging="1134"/>
        <w:rPr>
          <w:rFonts w:ascii="Times New Roman" w:hAnsi="Times New Roman"/>
          <w:b/>
          <w:sz w:val="24"/>
          <w:szCs w:val="24"/>
          <w:highlight w:val="lightGray"/>
        </w:rPr>
      </w:pPr>
      <w:r w:rsidRPr="00F017DE">
        <w:rPr>
          <w:rFonts w:ascii="Times New Roman" w:hAnsi="Times New Roman"/>
          <w:b/>
          <w:sz w:val="24"/>
          <w:szCs w:val="24"/>
          <w:highlight w:val="lightGray"/>
        </w:rPr>
        <w:t>Article 44</w:t>
      </w:r>
      <w:r w:rsidRPr="00F017DE">
        <w:rPr>
          <w:rFonts w:ascii="Times New Roman" w:hAnsi="Times New Roman"/>
          <w:b/>
          <w:sz w:val="24"/>
          <w:szCs w:val="24"/>
          <w:highlight w:val="lightGray"/>
        </w:rPr>
        <w:tab/>
        <w:t xml:space="preserve">Data </w:t>
      </w:r>
      <w:r w:rsidR="00686E07">
        <w:rPr>
          <w:rFonts w:ascii="Times New Roman" w:hAnsi="Times New Roman"/>
          <w:b/>
          <w:sz w:val="24"/>
          <w:szCs w:val="24"/>
          <w:highlight w:val="lightGray"/>
        </w:rPr>
        <w:t>p</w:t>
      </w:r>
      <w:r w:rsidRPr="00F017DE">
        <w:rPr>
          <w:rFonts w:ascii="Times New Roman" w:hAnsi="Times New Roman"/>
          <w:b/>
          <w:sz w:val="24"/>
          <w:szCs w:val="24"/>
          <w:highlight w:val="lightGray"/>
        </w:rPr>
        <w:t>rotection</w:t>
      </w:r>
    </w:p>
    <w:p w14:paraId="5F3FDACE" w14:textId="0014DC11" w:rsidR="009F7E6A" w:rsidRPr="009440BA" w:rsidRDefault="009F7E6A" w:rsidP="009F7E6A">
      <w:pPr>
        <w:jc w:val="both"/>
        <w:rPr>
          <w:rFonts w:ascii="Times New Roman" w:hAnsi="Times New Roman"/>
          <w:sz w:val="22"/>
          <w:szCs w:val="22"/>
        </w:rPr>
      </w:pPr>
      <w:r w:rsidRPr="009440BA">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3B4B20CA" w:rsidR="009F7E6A" w:rsidRPr="00F4288C" w:rsidRDefault="009F7E6A" w:rsidP="009F7E6A">
      <w:pPr>
        <w:jc w:val="both"/>
        <w:rPr>
          <w:rFonts w:ascii="Times New Roman" w:hAnsi="Times New Roman"/>
          <w:sz w:val="22"/>
          <w:szCs w:val="22"/>
          <w:u w:val="single"/>
        </w:rPr>
      </w:pPr>
      <w:r w:rsidRPr="009440BA">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9440BA">
        <w:rPr>
          <w:rFonts w:ascii="Times New Roman" w:hAnsi="Times New Roman"/>
          <w:sz w:val="22"/>
          <w:szCs w:val="22"/>
        </w:rPr>
        <w:t>personnel</w:t>
      </w:r>
      <w:r w:rsidRPr="009440BA">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9440BA">
        <w:rPr>
          <w:rStyle w:val="FootnoteReference"/>
          <w:rFonts w:ascii="Times New Roman" w:hAnsi="Times New Roman"/>
          <w:sz w:val="22"/>
          <w:szCs w:val="22"/>
        </w:rPr>
        <w:footnoteReference w:id="3"/>
      </w:r>
      <w:r w:rsidRPr="009440BA">
        <w:rPr>
          <w:rFonts w:ascii="Times New Roman" w:hAnsi="Times New Roman"/>
          <w:sz w:val="22"/>
          <w:szCs w:val="22"/>
        </w:rPr>
        <w:t xml:space="preserve"> and as detailed in the specific privacy statement published at </w:t>
      </w:r>
      <w:proofErr w:type="spellStart"/>
      <w:r w:rsidRPr="009440BA">
        <w:rPr>
          <w:rFonts w:ascii="Times New Roman" w:hAnsi="Times New Roman"/>
          <w:sz w:val="22"/>
          <w:szCs w:val="22"/>
        </w:rPr>
        <w:t>ePRAG</w:t>
      </w:r>
      <w:proofErr w:type="spellEnd"/>
      <w:r w:rsidRPr="00F4288C">
        <w:rPr>
          <w:rFonts w:ascii="Times New Roman" w:hAnsi="Times New Roman"/>
          <w:sz w:val="22"/>
          <w:szCs w:val="22"/>
          <w:highlight w:val="lightGray"/>
        </w:rPr>
        <w:t>.</w:t>
      </w:r>
    </w:p>
    <w:p w14:paraId="0BB191E9" w14:textId="4AFD4251" w:rsidR="00B605B6" w:rsidRPr="003D6B6C" w:rsidRDefault="009F7E6A" w:rsidP="00872DA7">
      <w:pPr>
        <w:pStyle w:val="ListNumber"/>
        <w:numPr>
          <w:ilvl w:val="0"/>
          <w:numId w:val="0"/>
        </w:numPr>
        <w:spacing w:before="240"/>
        <w:ind w:left="1134" w:hanging="1134"/>
        <w:rPr>
          <w:b/>
          <w:szCs w:val="24"/>
        </w:rPr>
      </w:pPr>
      <w:r w:rsidRPr="009440BA" w:rsidDel="009F7E6A">
        <w:rPr>
          <w:sz w:val="22"/>
          <w:szCs w:val="22"/>
        </w:rPr>
        <w:lastRenderedPageBreak/>
        <w:t xml:space="preserve"> </w:t>
      </w:r>
      <w:r w:rsidR="00B605B6" w:rsidRPr="009440BA">
        <w:rPr>
          <w:b/>
          <w:szCs w:val="24"/>
        </w:rPr>
        <w:t>Article 45</w:t>
      </w:r>
      <w:r w:rsidR="00B605B6" w:rsidRPr="009440BA">
        <w:rPr>
          <w:b/>
          <w:szCs w:val="24"/>
        </w:rPr>
        <w:tab/>
        <w:t>Further additional clauses</w:t>
      </w:r>
    </w:p>
    <w:p w14:paraId="3637455A" w14:textId="5ED92214" w:rsidR="00B605B6" w:rsidRDefault="009440BA" w:rsidP="0011156A">
      <w:pPr>
        <w:pStyle w:val="ListNumber"/>
        <w:numPr>
          <w:ilvl w:val="0"/>
          <w:numId w:val="0"/>
        </w:numPr>
        <w:rPr>
          <w:sz w:val="22"/>
          <w:szCs w:val="22"/>
        </w:rPr>
      </w:pPr>
      <w:r>
        <w:rPr>
          <w:sz w:val="22"/>
          <w:szCs w:val="22"/>
        </w:rPr>
        <w:t>N/A.</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2A05DB">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7D35BC" w14:textId="77777777" w:rsidR="00250568" w:rsidRPr="006A5F84" w:rsidRDefault="00250568">
      <w:r w:rsidRPr="006A5F84">
        <w:separator/>
      </w:r>
    </w:p>
  </w:endnote>
  <w:endnote w:type="continuationSeparator" w:id="0">
    <w:p w14:paraId="2E3559E5" w14:textId="77777777" w:rsidR="00250568" w:rsidRPr="006A5F84" w:rsidRDefault="0025056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auto"/>
    <w:notTrueType/>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AD2995" w14:textId="48048E3A"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341A54">
      <w:rPr>
        <w:rStyle w:val="PageNumber"/>
        <w:rFonts w:ascii="Times New Roman" w:hAnsi="Times New Roman"/>
        <w:noProof/>
        <w:sz w:val="18"/>
        <w:szCs w:val="18"/>
        <w:lang w:val="en-GB"/>
      </w:rPr>
      <w:t>6</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341A54">
      <w:rPr>
        <w:rStyle w:val="PageNumber"/>
        <w:rFonts w:ascii="Times New Roman" w:hAnsi="Times New Roman"/>
        <w:noProof/>
        <w:sz w:val="18"/>
        <w:szCs w:val="18"/>
        <w:lang w:val="en-GB"/>
      </w:rPr>
      <w:t>6</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A3210E" w14:textId="77777777" w:rsidR="00250568" w:rsidRPr="006A5F84" w:rsidRDefault="00250568">
      <w:r w:rsidRPr="006A5F84">
        <w:separator/>
      </w:r>
    </w:p>
  </w:footnote>
  <w:footnote w:type="continuationSeparator" w:id="0">
    <w:p w14:paraId="767A35B9" w14:textId="77777777" w:rsidR="00250568" w:rsidRPr="006A5F84" w:rsidRDefault="00250568">
      <w:r w:rsidRPr="006A5F84">
        <w:continuationSeparator/>
      </w:r>
    </w:p>
  </w:footnote>
  <w:footnote w:id="1">
    <w:p w14:paraId="70EC6637" w14:textId="77777777" w:rsidR="00297C14" w:rsidRPr="009F7E6A" w:rsidRDefault="00297C14" w:rsidP="001020D9">
      <w:pPr>
        <w:pStyle w:val="FootnoteText"/>
        <w:rPr>
          <w:lang w:val="en-GB"/>
        </w:rPr>
      </w:pPr>
      <w:r w:rsidRPr="0011156A">
        <w:rPr>
          <w:rStyle w:val="FootnoteReference"/>
        </w:rPr>
        <w:footnoteRef/>
      </w:r>
      <w:r w:rsidRPr="009F7E6A">
        <w:rPr>
          <w:lang w:val="en-GB"/>
        </w:rPr>
        <w:t xml:space="preserve"> Idem.</w:t>
      </w:r>
    </w:p>
  </w:footnote>
  <w:footnote w:id="2">
    <w:p w14:paraId="381A3A5A" w14:textId="77777777" w:rsidR="00F0405C" w:rsidRPr="009440BA" w:rsidRDefault="00F0405C" w:rsidP="00C73F87">
      <w:pPr>
        <w:pStyle w:val="FootnoteText"/>
        <w:rPr>
          <w:lang w:val="en-GB"/>
        </w:rPr>
      </w:pPr>
      <w:r>
        <w:rPr>
          <w:rStyle w:val="FootnoteReference"/>
        </w:rPr>
        <w:footnoteRef/>
      </w:r>
      <w:r w:rsidRPr="009F7E6A">
        <w:rPr>
          <w:lang w:val="en-GB"/>
        </w:rPr>
        <w:t xml:space="preserve"> </w:t>
      </w:r>
      <w:r w:rsidR="00E36C8F" w:rsidRPr="009440BA">
        <w:rPr>
          <w:lang w:val="en-GB"/>
        </w:rPr>
        <w:t xml:space="preserve">Such risk assessment is required, for example, </w:t>
      </w:r>
      <w:r w:rsidR="00930AD1" w:rsidRPr="009440BA">
        <w:rPr>
          <w:lang w:val="en-GB"/>
        </w:rPr>
        <w:t>when a company is awarded a contract without itself meeting the selection criteria, but relying on the capacity of another company.</w:t>
      </w:r>
    </w:p>
  </w:footnote>
  <w:footnote w:id="3">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DA41A5" w14:textId="77777777" w:rsidR="00CA1E77" w:rsidRDefault="00CA1E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83FD3B" w14:textId="77777777" w:rsidR="00CA1E77" w:rsidRDefault="00CA1E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9DED22" w14:textId="77777777" w:rsidR="00CA1E77" w:rsidRDefault="00CA1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452938336">
    <w:abstractNumId w:val="10"/>
  </w:num>
  <w:num w:numId="2" w16cid:durableId="1872766350">
    <w:abstractNumId w:val="22"/>
  </w:num>
  <w:num w:numId="3" w16cid:durableId="1666010570">
    <w:abstractNumId w:val="9"/>
  </w:num>
  <w:num w:numId="4" w16cid:durableId="2061705525">
    <w:abstractNumId w:val="12"/>
  </w:num>
  <w:num w:numId="5" w16cid:durableId="503785783">
    <w:abstractNumId w:val="24"/>
  </w:num>
  <w:num w:numId="6" w16cid:durableId="473909902">
    <w:abstractNumId w:val="7"/>
  </w:num>
  <w:num w:numId="7" w16cid:durableId="476800669">
    <w:abstractNumId w:val="4"/>
  </w:num>
  <w:num w:numId="8" w16cid:durableId="113642466">
    <w:abstractNumId w:val="1"/>
  </w:num>
  <w:num w:numId="9" w16cid:durableId="873268872">
    <w:abstractNumId w:val="13"/>
  </w:num>
  <w:num w:numId="10" w16cid:durableId="1193225416">
    <w:abstractNumId w:val="3"/>
  </w:num>
  <w:num w:numId="11" w16cid:durableId="2078169606">
    <w:abstractNumId w:val="20"/>
  </w:num>
  <w:num w:numId="12" w16cid:durableId="2124031140">
    <w:abstractNumId w:val="11"/>
  </w:num>
  <w:num w:numId="13" w16cid:durableId="334189372">
    <w:abstractNumId w:val="5"/>
  </w:num>
  <w:num w:numId="14" w16cid:durableId="2118257346">
    <w:abstractNumId w:val="17"/>
  </w:num>
  <w:num w:numId="15" w16cid:durableId="986325447">
    <w:abstractNumId w:val="18"/>
  </w:num>
  <w:num w:numId="16" w16cid:durableId="1101804632">
    <w:abstractNumId w:val="6"/>
  </w:num>
  <w:num w:numId="17" w16cid:durableId="1614091644">
    <w:abstractNumId w:val="15"/>
  </w:num>
  <w:num w:numId="18" w16cid:durableId="688525032">
    <w:abstractNumId w:val="8"/>
  </w:num>
  <w:num w:numId="19" w16cid:durableId="1810895258">
    <w:abstractNumId w:val="2"/>
  </w:num>
  <w:num w:numId="20" w16cid:durableId="1621759418">
    <w:abstractNumId w:val="21"/>
  </w:num>
  <w:num w:numId="21" w16cid:durableId="1583098418">
    <w:abstractNumId w:val="16"/>
  </w:num>
  <w:num w:numId="22" w16cid:durableId="1527208043">
    <w:abstractNumId w:val="14"/>
  </w:num>
  <w:num w:numId="23" w16cid:durableId="1248422567">
    <w:abstractNumId w:val="0"/>
  </w:num>
  <w:num w:numId="24" w16cid:durableId="170268386">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BCA"/>
    <w:rsid w:val="00085CA1"/>
    <w:rsid w:val="00087F35"/>
    <w:rsid w:val="0009286D"/>
    <w:rsid w:val="00092A48"/>
    <w:rsid w:val="0009746B"/>
    <w:rsid w:val="000A1A71"/>
    <w:rsid w:val="000A3B36"/>
    <w:rsid w:val="000A6371"/>
    <w:rsid w:val="000A7A2C"/>
    <w:rsid w:val="000B0983"/>
    <w:rsid w:val="000B1236"/>
    <w:rsid w:val="000B46A8"/>
    <w:rsid w:val="000B7003"/>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172C"/>
    <w:rsid w:val="001320DF"/>
    <w:rsid w:val="0013528C"/>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0632"/>
    <w:rsid w:val="001A6941"/>
    <w:rsid w:val="001A6C79"/>
    <w:rsid w:val="001B4DA9"/>
    <w:rsid w:val="001B5454"/>
    <w:rsid w:val="001B55AC"/>
    <w:rsid w:val="001C709F"/>
    <w:rsid w:val="001C75B0"/>
    <w:rsid w:val="001D0532"/>
    <w:rsid w:val="001D1EB9"/>
    <w:rsid w:val="001D20C7"/>
    <w:rsid w:val="001D339B"/>
    <w:rsid w:val="001D7DE7"/>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17A6"/>
    <w:rsid w:val="00224C44"/>
    <w:rsid w:val="00225CDC"/>
    <w:rsid w:val="00227A8C"/>
    <w:rsid w:val="00230AB3"/>
    <w:rsid w:val="00240B1F"/>
    <w:rsid w:val="002426D3"/>
    <w:rsid w:val="0024425D"/>
    <w:rsid w:val="002442B7"/>
    <w:rsid w:val="002455C7"/>
    <w:rsid w:val="00250568"/>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05DB"/>
    <w:rsid w:val="002A651B"/>
    <w:rsid w:val="002A6DB8"/>
    <w:rsid w:val="002B6401"/>
    <w:rsid w:val="002B696A"/>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16E3"/>
    <w:rsid w:val="0033212F"/>
    <w:rsid w:val="003323F5"/>
    <w:rsid w:val="003330F8"/>
    <w:rsid w:val="00335E06"/>
    <w:rsid w:val="0033700A"/>
    <w:rsid w:val="003409B8"/>
    <w:rsid w:val="00341A54"/>
    <w:rsid w:val="003439C4"/>
    <w:rsid w:val="00345D44"/>
    <w:rsid w:val="003472EB"/>
    <w:rsid w:val="00347B7E"/>
    <w:rsid w:val="003502E9"/>
    <w:rsid w:val="00351351"/>
    <w:rsid w:val="00360344"/>
    <w:rsid w:val="003613D2"/>
    <w:rsid w:val="00361AE1"/>
    <w:rsid w:val="0036422F"/>
    <w:rsid w:val="00367A60"/>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976FF"/>
    <w:rsid w:val="003A05D9"/>
    <w:rsid w:val="003A1309"/>
    <w:rsid w:val="003A31CB"/>
    <w:rsid w:val="003A431E"/>
    <w:rsid w:val="003B6E06"/>
    <w:rsid w:val="003C084D"/>
    <w:rsid w:val="003C7266"/>
    <w:rsid w:val="003D2078"/>
    <w:rsid w:val="003D257A"/>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5BB7"/>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2472"/>
    <w:rsid w:val="004B7463"/>
    <w:rsid w:val="004C270A"/>
    <w:rsid w:val="004C35B5"/>
    <w:rsid w:val="004C3C82"/>
    <w:rsid w:val="004C77A2"/>
    <w:rsid w:val="004D1EC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06A2"/>
    <w:rsid w:val="0058156E"/>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B5937"/>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3E34"/>
    <w:rsid w:val="00684801"/>
    <w:rsid w:val="006858D9"/>
    <w:rsid w:val="00686ACD"/>
    <w:rsid w:val="00686E07"/>
    <w:rsid w:val="006917B2"/>
    <w:rsid w:val="00692095"/>
    <w:rsid w:val="00695007"/>
    <w:rsid w:val="006A5F84"/>
    <w:rsid w:val="006B0AB1"/>
    <w:rsid w:val="006B0D5F"/>
    <w:rsid w:val="006B145B"/>
    <w:rsid w:val="006B5E82"/>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16622"/>
    <w:rsid w:val="00722016"/>
    <w:rsid w:val="00724C93"/>
    <w:rsid w:val="00724D0C"/>
    <w:rsid w:val="00725082"/>
    <w:rsid w:val="0073450F"/>
    <w:rsid w:val="00742FAC"/>
    <w:rsid w:val="007441DD"/>
    <w:rsid w:val="007520CA"/>
    <w:rsid w:val="0075384B"/>
    <w:rsid w:val="007552DC"/>
    <w:rsid w:val="00760195"/>
    <w:rsid w:val="007625F7"/>
    <w:rsid w:val="00763299"/>
    <w:rsid w:val="00763B1C"/>
    <w:rsid w:val="00765CE7"/>
    <w:rsid w:val="007666CD"/>
    <w:rsid w:val="00775F12"/>
    <w:rsid w:val="00776BF7"/>
    <w:rsid w:val="00777E99"/>
    <w:rsid w:val="007838D5"/>
    <w:rsid w:val="007858B9"/>
    <w:rsid w:val="00792A1B"/>
    <w:rsid w:val="00794EE6"/>
    <w:rsid w:val="00797C04"/>
    <w:rsid w:val="007A0045"/>
    <w:rsid w:val="007A1101"/>
    <w:rsid w:val="007A1B07"/>
    <w:rsid w:val="007A3D34"/>
    <w:rsid w:val="007A67D6"/>
    <w:rsid w:val="007A6AF5"/>
    <w:rsid w:val="007A7EBC"/>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31"/>
    <w:rsid w:val="008214E2"/>
    <w:rsid w:val="008227A5"/>
    <w:rsid w:val="00822E7E"/>
    <w:rsid w:val="008272ED"/>
    <w:rsid w:val="00830BE9"/>
    <w:rsid w:val="00833EBD"/>
    <w:rsid w:val="008413B3"/>
    <w:rsid w:val="008428B9"/>
    <w:rsid w:val="00850CAD"/>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D096B"/>
    <w:rsid w:val="008E0A3D"/>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40BA"/>
    <w:rsid w:val="0094670B"/>
    <w:rsid w:val="00950B0C"/>
    <w:rsid w:val="009679FA"/>
    <w:rsid w:val="0097513D"/>
    <w:rsid w:val="0097700F"/>
    <w:rsid w:val="00980A42"/>
    <w:rsid w:val="00982296"/>
    <w:rsid w:val="00983FDE"/>
    <w:rsid w:val="00986B1E"/>
    <w:rsid w:val="00992F32"/>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26B50"/>
    <w:rsid w:val="00A41B28"/>
    <w:rsid w:val="00A5099A"/>
    <w:rsid w:val="00A512A5"/>
    <w:rsid w:val="00A512C9"/>
    <w:rsid w:val="00A539E4"/>
    <w:rsid w:val="00A56046"/>
    <w:rsid w:val="00A62073"/>
    <w:rsid w:val="00A63E3C"/>
    <w:rsid w:val="00A665A2"/>
    <w:rsid w:val="00A7016F"/>
    <w:rsid w:val="00A72C82"/>
    <w:rsid w:val="00A75650"/>
    <w:rsid w:val="00A76A6E"/>
    <w:rsid w:val="00A84296"/>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5EC4"/>
    <w:rsid w:val="00B17A53"/>
    <w:rsid w:val="00B207DB"/>
    <w:rsid w:val="00B22470"/>
    <w:rsid w:val="00B2488A"/>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67DAE"/>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42DA"/>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0B34"/>
    <w:rsid w:val="00CA1354"/>
    <w:rsid w:val="00CA1E77"/>
    <w:rsid w:val="00CA3F76"/>
    <w:rsid w:val="00CA6C68"/>
    <w:rsid w:val="00CB616B"/>
    <w:rsid w:val="00CC189A"/>
    <w:rsid w:val="00CC7DE2"/>
    <w:rsid w:val="00CD522F"/>
    <w:rsid w:val="00CD68C0"/>
    <w:rsid w:val="00CD6FC9"/>
    <w:rsid w:val="00CD7F25"/>
    <w:rsid w:val="00CF2DE2"/>
    <w:rsid w:val="00CF30C4"/>
    <w:rsid w:val="00CF6CFA"/>
    <w:rsid w:val="00CF7283"/>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01A9"/>
    <w:rsid w:val="00E0295D"/>
    <w:rsid w:val="00E0396B"/>
    <w:rsid w:val="00E13CDE"/>
    <w:rsid w:val="00E14817"/>
    <w:rsid w:val="00E17269"/>
    <w:rsid w:val="00E2190B"/>
    <w:rsid w:val="00E219CD"/>
    <w:rsid w:val="00E2682A"/>
    <w:rsid w:val="00E27678"/>
    <w:rsid w:val="00E27B1D"/>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A6D09"/>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0485212">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EAE97-6D32-4B51-8C1F-26846702B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1710</Words>
  <Characters>9752</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11440</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Green Institute</cp:lastModifiedBy>
  <cp:revision>17</cp:revision>
  <cp:lastPrinted>2014-02-11T14:32:00Z</cp:lastPrinted>
  <dcterms:created xsi:type="dcterms:W3CDTF">2024-02-20T20:15:00Z</dcterms:created>
  <dcterms:modified xsi:type="dcterms:W3CDTF">2024-11-12T08:07:00Z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